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99"/>
      </w:tblGrid>
      <w:tr w:rsidR="007C6253" w14:paraId="0EC69B77" w14:textId="77777777" w:rsidTr="00821F67">
        <w:trPr>
          <w:trHeight w:val="1984"/>
          <w:jc w:val="center"/>
        </w:trPr>
        <w:tc>
          <w:tcPr>
            <w:tcW w:w="5000" w:type="pc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6440FA9" w14:textId="77777777" w:rsidR="007C6253" w:rsidRDefault="007C6253" w:rsidP="00821F67">
            <w:r>
              <w:rPr>
                <w:noProof/>
              </w:rPr>
              <w:drawing>
                <wp:anchor distT="0" distB="0" distL="114300" distR="114300" simplePos="0" relativeHeight="251659264" behindDoc="0" locked="0" layoutInCell="1" allowOverlap="1" wp14:anchorId="369671A4" wp14:editId="449261B1">
                  <wp:simplePos x="0" y="0"/>
                  <wp:positionH relativeFrom="margin">
                    <wp:posOffset>4336415</wp:posOffset>
                  </wp:positionH>
                  <wp:positionV relativeFrom="margin">
                    <wp:posOffset>102870</wp:posOffset>
                  </wp:positionV>
                  <wp:extent cx="1397075"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6"/>
                          <a:stretch>
                            <a:fillRect/>
                          </a:stretch>
                        </pic:blipFill>
                        <pic:spPr>
                          <a:xfrm>
                            <a:off x="0" y="0"/>
                            <a:ext cx="1397075" cy="1080000"/>
                          </a:xfrm>
                          <a:prstGeom prst="rect">
                            <a:avLst/>
                          </a:prstGeom>
                        </pic:spPr>
                      </pic:pic>
                    </a:graphicData>
                  </a:graphic>
                  <wp14:sizeRelH relativeFrom="margin">
                    <wp14:pctWidth>0</wp14:pctWidth>
                  </wp14:sizeRelH>
                  <wp14:sizeRelV relativeFrom="margin">
                    <wp14:pctHeight>0</wp14:pctHeight>
                  </wp14:sizeRelV>
                </wp:anchor>
              </w:drawing>
            </w:r>
          </w:p>
          <w:p w14:paraId="4C198230" w14:textId="77777777" w:rsidR="007C6253" w:rsidRDefault="007C6253" w:rsidP="00821F67"/>
          <w:p w14:paraId="09A44355" w14:textId="77777777" w:rsidR="007C6253" w:rsidRPr="00C001F3" w:rsidRDefault="007C6253" w:rsidP="00821F67">
            <w:pPr>
              <w:tabs>
                <w:tab w:val="left" w:pos="8205"/>
              </w:tabs>
              <w:rPr>
                <w:b/>
              </w:rPr>
            </w:pPr>
            <w:r>
              <w:tab/>
            </w:r>
          </w:p>
          <w:p w14:paraId="7DB7C9D3" w14:textId="77777777" w:rsidR="007C6253" w:rsidRPr="00C001F3" w:rsidRDefault="007C6253" w:rsidP="00821F67">
            <w:pPr>
              <w:tabs>
                <w:tab w:val="left" w:pos="7095"/>
              </w:tabs>
            </w:pPr>
            <w:r>
              <w:tab/>
            </w:r>
          </w:p>
        </w:tc>
      </w:tr>
      <w:tr w:rsidR="007C6253" w14:paraId="5F5D6EF0" w14:textId="77777777" w:rsidTr="00821F67">
        <w:trPr>
          <w:trHeight w:val="1440"/>
          <w:jc w:val="center"/>
        </w:trPr>
        <w:tc>
          <w:tcPr>
            <w:tcW w:w="5000" w:type="pct"/>
            <w:tcBorders>
              <w:top w:val="single" w:sz="4" w:space="0" w:color="C45911" w:themeColor="accent2" w:themeShade="BF"/>
              <w:bottom w:val="single" w:sz="4" w:space="0" w:color="C45911" w:themeColor="accent2" w:themeShade="BF"/>
            </w:tcBorders>
            <w:vAlign w:val="center"/>
          </w:tcPr>
          <w:p w14:paraId="7446E8C9" w14:textId="77777777" w:rsidR="007C6253" w:rsidRPr="004C4556" w:rsidRDefault="007C6253" w:rsidP="00821F67">
            <w:pPr>
              <w:pStyle w:val="NoSpacing"/>
              <w:spacing w:before="240" w:after="240"/>
              <w:rPr>
                <w:rFonts w:ascii="Arial" w:eastAsia="Times New Roman" w:hAnsi="Arial" w:cs="Arial"/>
                <w:sz w:val="80"/>
                <w:szCs w:val="80"/>
              </w:rPr>
            </w:pPr>
            <w:r>
              <w:rPr>
                <w:rFonts w:ascii="Arial" w:eastAsia="Times New Roman" w:hAnsi="Arial" w:cs="Arial"/>
                <w:b/>
                <w:sz w:val="72"/>
                <w:szCs w:val="72"/>
              </w:rPr>
              <w:t>Code of Practice on Student Support</w:t>
            </w:r>
            <w:r w:rsidR="00D8088F">
              <w:rPr>
                <w:rFonts w:ascii="Arial" w:eastAsia="Times New Roman" w:hAnsi="Arial" w:cs="Arial"/>
                <w:b/>
                <w:sz w:val="72"/>
                <w:szCs w:val="72"/>
              </w:rPr>
              <w:t xml:space="preserve"> &amp; Welfare</w:t>
            </w:r>
            <w:r w:rsidRPr="00B94779">
              <w:rPr>
                <w:rFonts w:ascii="Arial" w:eastAsia="Times New Roman" w:hAnsi="Arial" w:cs="Arial"/>
                <w:b/>
                <w:sz w:val="72"/>
                <w:szCs w:val="72"/>
              </w:rPr>
              <w:t xml:space="preserve"> </w:t>
            </w:r>
          </w:p>
        </w:tc>
      </w:tr>
      <w:tr w:rsidR="007C6253" w14:paraId="2A41081C" w14:textId="77777777" w:rsidTr="00821F67">
        <w:trPr>
          <w:trHeight w:val="806"/>
          <w:jc w:val="center"/>
        </w:trPr>
        <w:tc>
          <w:tcPr>
            <w:tcW w:w="5000" w:type="pct"/>
            <w:tcBorders>
              <w:top w:val="single" w:sz="4" w:space="0" w:color="C45911" w:themeColor="accent2" w:themeShade="BF"/>
              <w:bottom w:val="single" w:sz="6" w:space="0" w:color="C45911" w:themeColor="accent2" w:themeShade="BF"/>
            </w:tcBorders>
            <w:vAlign w:val="center"/>
          </w:tcPr>
          <w:p w14:paraId="1E75DA36" w14:textId="77777777" w:rsidR="007C6253" w:rsidRPr="00D615B9" w:rsidRDefault="007C6253" w:rsidP="00821F67">
            <w:pPr>
              <w:pStyle w:val="NoSpacing"/>
              <w:spacing w:before="240" w:after="240"/>
              <w:jc w:val="center"/>
              <w:rPr>
                <w:rFonts w:ascii="Arial" w:eastAsia="Times New Roman" w:hAnsi="Arial" w:cs="Arial"/>
                <w:b/>
                <w:sz w:val="44"/>
                <w:szCs w:val="44"/>
              </w:rPr>
            </w:pPr>
          </w:p>
        </w:tc>
      </w:tr>
      <w:tr w:rsidR="007C6253" w14:paraId="7D2A0E83" w14:textId="77777777" w:rsidTr="00821F67">
        <w:trPr>
          <w:trHeight w:val="3786"/>
          <w:jc w:val="center"/>
        </w:trPr>
        <w:tc>
          <w:tcPr>
            <w:tcW w:w="5000" w:type="pct"/>
            <w:tcBorders>
              <w:top w:val="single" w:sz="6" w:space="0" w:color="C45911" w:themeColor="accent2" w:themeShade="BF"/>
              <w:bottom w:val="single" w:sz="6" w:space="0" w:color="C45911" w:themeColor="accent2" w:themeShade="BF"/>
            </w:tcBorders>
            <w:vAlign w:val="center"/>
          </w:tcPr>
          <w:tbl>
            <w:tblPr>
              <w:tblpPr w:leftFromText="181" w:rightFromText="181" w:horzAnchor="margin" w:tblpXSpec="center" w:tblpYSpec="bottom"/>
              <w:tblOverlap w:val="never"/>
              <w:tblW w:w="4979" w:type="pct"/>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4284"/>
              <w:gridCol w:w="4751"/>
            </w:tblGrid>
            <w:tr w:rsidR="007C6253" w:rsidRPr="004C4556" w14:paraId="0EC6FAE1" w14:textId="77777777" w:rsidTr="00821F67">
              <w:trPr>
                <w:trHeight w:val="397"/>
              </w:trPr>
              <w:tc>
                <w:tcPr>
                  <w:tcW w:w="2371" w:type="pct"/>
                  <w:vAlign w:val="center"/>
                  <w:hideMark/>
                </w:tcPr>
                <w:p w14:paraId="1BE0E062" w14:textId="77777777" w:rsidR="007C6253" w:rsidRPr="00805611" w:rsidRDefault="007C6253" w:rsidP="00821F67">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14:paraId="1D0CCAA6" w14:textId="02FC8825" w:rsidR="007C6253" w:rsidRPr="00805611" w:rsidRDefault="007C6253" w:rsidP="00821F67">
                  <w:pPr>
                    <w:pStyle w:val="NoSpacing"/>
                    <w:spacing w:before="120" w:after="120"/>
                    <w:rPr>
                      <w:rFonts w:ascii="Arial" w:hAnsi="Arial" w:cs="Arial"/>
                    </w:rPr>
                  </w:pPr>
                  <w:r>
                    <w:rPr>
                      <w:rFonts w:ascii="Arial" w:hAnsi="Arial" w:cs="Arial"/>
                    </w:rPr>
                    <w:t xml:space="preserve">LT COP </w:t>
                  </w:r>
                  <w:r w:rsidR="00CF0074">
                    <w:rPr>
                      <w:rFonts w:ascii="Arial" w:hAnsi="Arial" w:cs="Arial"/>
                    </w:rPr>
                    <w:t>09</w:t>
                  </w:r>
                </w:p>
              </w:tc>
            </w:tr>
            <w:tr w:rsidR="007C6253" w:rsidRPr="004C4556" w14:paraId="6431964C" w14:textId="77777777" w:rsidTr="00821F67">
              <w:trPr>
                <w:trHeight w:val="397"/>
              </w:trPr>
              <w:tc>
                <w:tcPr>
                  <w:tcW w:w="2371" w:type="pct"/>
                  <w:vAlign w:val="center"/>
                </w:tcPr>
                <w:p w14:paraId="0293428A" w14:textId="77777777" w:rsidR="007C6253" w:rsidRPr="00805611" w:rsidRDefault="007C6253" w:rsidP="00821F67">
                  <w:pPr>
                    <w:pStyle w:val="NoSpacing"/>
                    <w:spacing w:before="120" w:after="120"/>
                    <w:rPr>
                      <w:rFonts w:ascii="Arial" w:hAnsi="Arial" w:cs="Arial"/>
                      <w:b/>
                    </w:rPr>
                  </w:pPr>
                  <w:r w:rsidRPr="00805611">
                    <w:rPr>
                      <w:rFonts w:ascii="Arial" w:hAnsi="Arial" w:cs="Arial"/>
                      <w:b/>
                    </w:rPr>
                    <w:t>Version:</w:t>
                  </w:r>
                </w:p>
              </w:tc>
              <w:tc>
                <w:tcPr>
                  <w:tcW w:w="2629" w:type="pct"/>
                  <w:vAlign w:val="center"/>
                </w:tcPr>
                <w:p w14:paraId="666C4F78" w14:textId="5E2BF469" w:rsidR="007C6253" w:rsidRPr="00805611" w:rsidRDefault="00CF0074" w:rsidP="00CF0074">
                  <w:pPr>
                    <w:pStyle w:val="NoSpacing"/>
                    <w:spacing w:before="120" w:after="120"/>
                    <w:rPr>
                      <w:rFonts w:ascii="Arial" w:hAnsi="Arial" w:cs="Arial"/>
                    </w:rPr>
                  </w:pPr>
                  <w:r>
                    <w:rPr>
                      <w:rFonts w:ascii="Arial" w:hAnsi="Arial" w:cs="Arial"/>
                    </w:rPr>
                    <w:t>2</w:t>
                  </w:r>
                  <w:r w:rsidR="007C6253">
                    <w:rPr>
                      <w:rFonts w:ascii="Arial" w:hAnsi="Arial" w:cs="Arial"/>
                    </w:rPr>
                    <w:t>.</w:t>
                  </w:r>
                  <w:r w:rsidR="00492DF7">
                    <w:rPr>
                      <w:rFonts w:ascii="Arial" w:hAnsi="Arial" w:cs="Arial"/>
                    </w:rPr>
                    <w:t>1</w:t>
                  </w:r>
                </w:p>
              </w:tc>
            </w:tr>
            <w:tr w:rsidR="007C6253" w:rsidRPr="004C4556" w14:paraId="45CF8FB7" w14:textId="77777777" w:rsidTr="00821F67">
              <w:trPr>
                <w:trHeight w:val="397"/>
              </w:trPr>
              <w:tc>
                <w:tcPr>
                  <w:tcW w:w="2371" w:type="pct"/>
                  <w:vAlign w:val="center"/>
                </w:tcPr>
                <w:p w14:paraId="5D5FBB13" w14:textId="77777777" w:rsidR="007C6253" w:rsidRPr="00805611" w:rsidRDefault="007C6253" w:rsidP="00821F67">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14:paraId="3C989D19" w14:textId="7EB7D12D" w:rsidR="007C6253" w:rsidRPr="00805611" w:rsidRDefault="00765F9A" w:rsidP="00821F67">
                  <w:pPr>
                    <w:pStyle w:val="NoSpacing"/>
                    <w:spacing w:before="120" w:after="120"/>
                    <w:rPr>
                      <w:rFonts w:ascii="Arial" w:hAnsi="Arial" w:cs="Arial"/>
                    </w:rPr>
                  </w:pPr>
                  <w:r>
                    <w:rPr>
                      <w:rFonts w:ascii="Arial" w:hAnsi="Arial" w:cs="Arial"/>
                    </w:rPr>
                    <w:t>Replaces Code of Practice on Supporting Students with Disabilities</w:t>
                  </w:r>
                  <w:r w:rsidR="00CF0074">
                    <w:rPr>
                      <w:rFonts w:ascii="Arial" w:hAnsi="Arial" w:cs="Arial"/>
                    </w:rPr>
                    <w:t xml:space="preserve"> (COP09 v1.1)</w:t>
                  </w:r>
                </w:p>
              </w:tc>
            </w:tr>
            <w:tr w:rsidR="007C6253" w:rsidRPr="004C4556" w14:paraId="4DCFA3F0" w14:textId="77777777" w:rsidTr="00821F67">
              <w:trPr>
                <w:trHeight w:val="397"/>
              </w:trPr>
              <w:tc>
                <w:tcPr>
                  <w:tcW w:w="2371" w:type="pct"/>
                  <w:vAlign w:val="center"/>
                </w:tcPr>
                <w:p w14:paraId="46C92BD5" w14:textId="77777777" w:rsidR="007C6253" w:rsidRPr="00805611" w:rsidRDefault="007C6253" w:rsidP="00821F67">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14:paraId="2EA367BE" w14:textId="4D95B6F9" w:rsidR="007C6253" w:rsidRPr="00805611" w:rsidRDefault="0056446F" w:rsidP="00821F67">
                  <w:pPr>
                    <w:pStyle w:val="NoSpacing"/>
                    <w:spacing w:before="120" w:after="120"/>
                    <w:rPr>
                      <w:rFonts w:ascii="Arial" w:hAnsi="Arial" w:cs="Arial"/>
                    </w:rPr>
                  </w:pPr>
                  <w:r>
                    <w:rPr>
                      <w:rFonts w:ascii="Arial" w:hAnsi="Arial" w:cs="Arial"/>
                    </w:rPr>
                    <w:t>30.11.16</w:t>
                  </w:r>
                </w:p>
              </w:tc>
            </w:tr>
            <w:tr w:rsidR="007C6253" w:rsidRPr="004C4556" w14:paraId="0B9332C3" w14:textId="77777777" w:rsidTr="00821F67">
              <w:trPr>
                <w:trHeight w:val="397"/>
              </w:trPr>
              <w:tc>
                <w:tcPr>
                  <w:tcW w:w="2371" w:type="pct"/>
                  <w:vAlign w:val="center"/>
                </w:tcPr>
                <w:p w14:paraId="31D105B4" w14:textId="77777777" w:rsidR="007C6253" w:rsidRPr="00805611" w:rsidRDefault="007C6253" w:rsidP="00821F67">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14:paraId="3AD4AA39" w14:textId="77777777" w:rsidR="007C6253" w:rsidRPr="00805611" w:rsidRDefault="007C6253" w:rsidP="00821F67">
                  <w:pPr>
                    <w:pStyle w:val="NoSpacing"/>
                    <w:spacing w:before="120" w:after="120"/>
                    <w:rPr>
                      <w:rFonts w:ascii="Arial" w:hAnsi="Arial" w:cs="Arial"/>
                    </w:rPr>
                  </w:pPr>
                  <w:r w:rsidRPr="00805611">
                    <w:rPr>
                      <w:rFonts w:ascii="Arial" w:hAnsi="Arial" w:cs="Arial"/>
                    </w:rPr>
                    <w:t>Academic Registrar</w:t>
                  </w:r>
                </w:p>
              </w:tc>
            </w:tr>
            <w:tr w:rsidR="007C6253" w:rsidRPr="004C4556" w14:paraId="75256D62" w14:textId="77777777" w:rsidTr="00821F67">
              <w:trPr>
                <w:trHeight w:val="397"/>
              </w:trPr>
              <w:tc>
                <w:tcPr>
                  <w:tcW w:w="2371" w:type="pct"/>
                  <w:vAlign w:val="center"/>
                </w:tcPr>
                <w:p w14:paraId="290F2574" w14:textId="77777777" w:rsidR="007C6253" w:rsidRPr="00805611" w:rsidRDefault="007C6253" w:rsidP="00821F67">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14:paraId="451C98F9" w14:textId="2BEA169B" w:rsidR="007C6253" w:rsidRPr="00805611" w:rsidRDefault="00A637CA" w:rsidP="00821F67">
                  <w:pPr>
                    <w:pStyle w:val="NoSpacing"/>
                    <w:spacing w:before="120" w:after="120"/>
                    <w:rPr>
                      <w:rFonts w:ascii="Arial" w:hAnsi="Arial" w:cs="Arial"/>
                    </w:rPr>
                  </w:pPr>
                  <w:r>
                    <w:rPr>
                      <w:rFonts w:ascii="Arial" w:hAnsi="Arial" w:cs="Arial"/>
                    </w:rPr>
                    <w:t xml:space="preserve">July </w:t>
                  </w:r>
                  <w:r w:rsidR="00765F9A">
                    <w:rPr>
                      <w:rFonts w:ascii="Arial" w:hAnsi="Arial" w:cs="Arial"/>
                    </w:rPr>
                    <w:t>201</w:t>
                  </w:r>
                  <w:r w:rsidR="00492DF7">
                    <w:rPr>
                      <w:rFonts w:ascii="Arial" w:hAnsi="Arial" w:cs="Arial"/>
                    </w:rPr>
                    <w:t>9</w:t>
                  </w:r>
                </w:p>
              </w:tc>
            </w:tr>
          </w:tbl>
          <w:p w14:paraId="37E23C24" w14:textId="77777777" w:rsidR="007C6253" w:rsidRPr="004C4556" w:rsidRDefault="007C6253" w:rsidP="00821F67">
            <w:pPr>
              <w:pStyle w:val="NoSpacing"/>
              <w:ind w:right="-166"/>
              <w:jc w:val="center"/>
              <w:rPr>
                <w:rFonts w:ascii="Arial" w:hAnsi="Arial" w:cs="Arial"/>
                <w:b/>
                <w:bCs/>
              </w:rPr>
            </w:pPr>
          </w:p>
        </w:tc>
      </w:tr>
      <w:tr w:rsidR="007C6253" w14:paraId="23FD5450" w14:textId="77777777" w:rsidTr="00821F67">
        <w:trPr>
          <w:trHeight w:val="3245"/>
          <w:jc w:val="center"/>
        </w:trPr>
        <w:tc>
          <w:tcPr>
            <w:tcW w:w="5000" w:type="pct"/>
            <w:tcBorders>
              <w:top w:val="single" w:sz="6" w:space="0" w:color="C45911" w:themeColor="accent2" w:themeShade="BF"/>
              <w:bottom w:val="single" w:sz="6" w:space="0" w:color="C45911" w:themeColor="accent2" w:themeShade="BF"/>
            </w:tcBorders>
          </w:tcPr>
          <w:tbl>
            <w:tblPr>
              <w:tblpPr w:leftFromText="181" w:rightFromText="181" w:vertAnchor="page" w:horzAnchor="margin" w:tblpY="181"/>
              <w:tblOverlap w:val="never"/>
              <w:tblW w:w="4979" w:type="pct"/>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4284"/>
              <w:gridCol w:w="4751"/>
            </w:tblGrid>
            <w:tr w:rsidR="007C6253" w:rsidRPr="00853D2A" w14:paraId="0F6F794A" w14:textId="77777777" w:rsidTr="00821F67">
              <w:trPr>
                <w:trHeight w:val="397"/>
              </w:trPr>
              <w:tc>
                <w:tcPr>
                  <w:tcW w:w="5000" w:type="pct"/>
                  <w:gridSpan w:val="2"/>
                  <w:shd w:val="clear" w:color="auto" w:fill="F7CAAC" w:themeFill="accent2" w:themeFillTint="66"/>
                  <w:vAlign w:val="center"/>
                  <w:hideMark/>
                </w:tcPr>
                <w:p w14:paraId="517BA4D6" w14:textId="77777777" w:rsidR="007C6253" w:rsidRPr="00805611" w:rsidRDefault="007C6253" w:rsidP="00821F67">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7C6253" w:rsidRPr="00853D2A" w14:paraId="4DCBD07A" w14:textId="77777777" w:rsidTr="00821F67">
              <w:trPr>
                <w:trHeight w:val="397"/>
              </w:trPr>
              <w:tc>
                <w:tcPr>
                  <w:tcW w:w="2371" w:type="pct"/>
                  <w:vAlign w:val="center"/>
                </w:tcPr>
                <w:p w14:paraId="428CD3AA" w14:textId="77777777" w:rsidR="007C6253" w:rsidRPr="00805611" w:rsidRDefault="007C6253" w:rsidP="00821F67">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Code of Practice</w:t>
                  </w:r>
                </w:p>
              </w:tc>
              <w:tc>
                <w:tcPr>
                  <w:tcW w:w="2629" w:type="pct"/>
                  <w:vAlign w:val="center"/>
                </w:tcPr>
                <w:p w14:paraId="2FA0FB0C" w14:textId="6637086D" w:rsidR="007C6253" w:rsidRPr="00805611" w:rsidRDefault="007C6253" w:rsidP="00AF039C">
                  <w:pPr>
                    <w:pStyle w:val="NoSpacing"/>
                    <w:spacing w:before="120" w:after="120"/>
                    <w:rPr>
                      <w:rFonts w:ascii="Arial" w:hAnsi="Arial" w:cs="Arial"/>
                    </w:rPr>
                  </w:pPr>
                  <w:r>
                    <w:rPr>
                      <w:rFonts w:ascii="Arial" w:hAnsi="Arial" w:cs="Arial"/>
                    </w:rPr>
                    <w:t>D</w:t>
                  </w:r>
                  <w:r w:rsidR="00492DF7">
                    <w:rPr>
                      <w:rFonts w:ascii="Arial" w:hAnsi="Arial" w:cs="Arial"/>
                    </w:rPr>
                    <w:t xml:space="preserve">ean </w:t>
                  </w:r>
                  <w:r>
                    <w:rPr>
                      <w:rFonts w:ascii="Arial" w:hAnsi="Arial" w:cs="Arial"/>
                    </w:rPr>
                    <w:t xml:space="preserve">of Education; Academic Registrar; Student Experience Officer; </w:t>
                  </w:r>
                  <w:r w:rsidR="00384E40">
                    <w:rPr>
                      <w:rFonts w:ascii="Arial" w:hAnsi="Arial" w:cs="Arial"/>
                    </w:rPr>
                    <w:t>Directors of Studies,</w:t>
                  </w:r>
                  <w:r>
                    <w:rPr>
                      <w:rFonts w:ascii="Arial" w:hAnsi="Arial" w:cs="Arial"/>
                    </w:rPr>
                    <w:t xml:space="preserve"> Programme Administrators</w:t>
                  </w:r>
                  <w:r w:rsidR="00384E40">
                    <w:rPr>
                      <w:rFonts w:ascii="Arial" w:hAnsi="Arial" w:cs="Arial"/>
                    </w:rPr>
                    <w:t>, P</w:t>
                  </w:r>
                  <w:r w:rsidR="00AF039C">
                    <w:rPr>
                      <w:rFonts w:ascii="Arial" w:hAnsi="Arial" w:cs="Arial"/>
                    </w:rPr>
                    <w:t>revent</w:t>
                  </w:r>
                  <w:r w:rsidR="00384E40">
                    <w:rPr>
                      <w:rFonts w:ascii="Arial" w:hAnsi="Arial" w:cs="Arial"/>
                    </w:rPr>
                    <w:t xml:space="preserve"> Lead. </w:t>
                  </w:r>
                </w:p>
              </w:tc>
            </w:tr>
            <w:tr w:rsidR="007C6253" w:rsidRPr="00853D2A" w14:paraId="66F980D2" w14:textId="77777777" w:rsidTr="00821F67">
              <w:trPr>
                <w:trHeight w:val="397"/>
              </w:trPr>
              <w:tc>
                <w:tcPr>
                  <w:tcW w:w="2371" w:type="pct"/>
                  <w:vAlign w:val="center"/>
                </w:tcPr>
                <w:p w14:paraId="1F09BF59" w14:textId="77777777" w:rsidR="007C6253" w:rsidRPr="00805611" w:rsidRDefault="007C6253" w:rsidP="00821F67">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the Code of Practice</w:t>
                  </w:r>
                </w:p>
              </w:tc>
              <w:tc>
                <w:tcPr>
                  <w:tcW w:w="2629" w:type="pct"/>
                  <w:vAlign w:val="center"/>
                </w:tcPr>
                <w:p w14:paraId="53FE89CE" w14:textId="77777777" w:rsidR="007C6253" w:rsidRPr="00805611" w:rsidRDefault="007C6253" w:rsidP="00821F67">
                  <w:pPr>
                    <w:pStyle w:val="NoSpacing"/>
                    <w:spacing w:before="120" w:after="120"/>
                    <w:rPr>
                      <w:rFonts w:ascii="Arial" w:hAnsi="Arial" w:cs="Arial"/>
                    </w:rPr>
                  </w:pPr>
                  <w:r>
                    <w:rPr>
                      <w:rFonts w:ascii="Arial" w:hAnsi="Arial" w:cs="Arial"/>
                    </w:rPr>
                    <w:t>Current and prospective students; All staff involved in teaching students</w:t>
                  </w:r>
                </w:p>
              </w:tc>
            </w:tr>
            <w:tr w:rsidR="007C6253" w:rsidRPr="00853D2A" w14:paraId="7F58007E" w14:textId="77777777" w:rsidTr="00821F67">
              <w:trPr>
                <w:trHeight w:val="397"/>
              </w:trPr>
              <w:tc>
                <w:tcPr>
                  <w:tcW w:w="2371" w:type="pct"/>
                  <w:vAlign w:val="center"/>
                </w:tcPr>
                <w:p w14:paraId="0CCFE217" w14:textId="77777777" w:rsidR="007C6253" w:rsidRPr="00805611" w:rsidRDefault="007C6253" w:rsidP="00821F67">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Code of Practice </w:t>
                  </w:r>
                  <w:r w:rsidRPr="00805611">
                    <w:rPr>
                      <w:rFonts w:ascii="Arial" w:hAnsi="Arial" w:cs="Arial"/>
                    </w:rPr>
                    <w:t>exists</w:t>
                  </w:r>
                </w:p>
              </w:tc>
              <w:tc>
                <w:tcPr>
                  <w:tcW w:w="2629" w:type="pct"/>
                  <w:vAlign w:val="center"/>
                </w:tcPr>
                <w:p w14:paraId="1E21521E" w14:textId="77777777" w:rsidR="007C6253" w:rsidRPr="00805611" w:rsidRDefault="007C6253" w:rsidP="00821F67">
                  <w:pPr>
                    <w:pStyle w:val="NoSpacing"/>
                    <w:spacing w:before="120" w:after="120"/>
                    <w:rPr>
                      <w:rFonts w:ascii="Arial" w:hAnsi="Arial" w:cs="Arial"/>
                    </w:rPr>
                  </w:pPr>
                  <w:r>
                    <w:rPr>
                      <w:rFonts w:ascii="Arial" w:hAnsi="Arial" w:cs="Arial"/>
                    </w:rPr>
                    <w:t>All staff</w:t>
                  </w:r>
                </w:p>
              </w:tc>
            </w:tr>
          </w:tbl>
          <w:p w14:paraId="6E17D96E" w14:textId="77777777" w:rsidR="007C6253" w:rsidRPr="00853D2A" w:rsidRDefault="007C6253" w:rsidP="00821F67">
            <w:pPr>
              <w:pStyle w:val="NoSpacing"/>
              <w:rPr>
                <w:rFonts w:ascii="Arial" w:hAnsi="Arial" w:cs="Arial"/>
                <w:sz w:val="20"/>
              </w:rPr>
            </w:pPr>
          </w:p>
        </w:tc>
      </w:tr>
    </w:tbl>
    <w:p w14:paraId="48984493" w14:textId="77777777" w:rsidR="007C6253" w:rsidRPr="00876075" w:rsidRDefault="007C6253" w:rsidP="007C6253">
      <w:pPr>
        <w:pStyle w:val="HeadingListStyle"/>
        <w:keepNext/>
        <w:numPr>
          <w:ilvl w:val="0"/>
          <w:numId w:val="0"/>
        </w:numPr>
        <w:pBdr>
          <w:top w:val="single" w:sz="4" w:space="9" w:color="C45911" w:themeColor="accent2" w:themeShade="BF"/>
          <w:bottom w:val="single" w:sz="4" w:space="9" w:color="C45911" w:themeColor="accent2" w:themeShade="BF"/>
        </w:pBdr>
        <w:spacing w:before="360" w:line="276" w:lineRule="auto"/>
        <w:contextualSpacing w:val="0"/>
        <w:rPr>
          <w:color w:val="C45911" w:themeColor="accent2" w:themeShade="BF"/>
          <w:sz w:val="32"/>
          <w:szCs w:val="32"/>
          <w:u w:val="none"/>
        </w:rPr>
      </w:pPr>
      <w:r>
        <w:br w:type="page"/>
      </w:r>
      <w:r w:rsidRPr="00876075">
        <w:rPr>
          <w:color w:val="C45911" w:themeColor="accent2" w:themeShade="BF"/>
          <w:sz w:val="32"/>
          <w:szCs w:val="32"/>
          <w:u w:val="none"/>
        </w:rPr>
        <w:lastRenderedPageBreak/>
        <w:t>Contents</w:t>
      </w:r>
    </w:p>
    <w:p w14:paraId="148B8822" w14:textId="343756EA" w:rsidR="007C6253" w:rsidRDefault="007C6253" w:rsidP="007C6253">
      <w:pPr>
        <w:pStyle w:val="TOC1"/>
        <w:rPr>
          <w:rFonts w:asciiTheme="minorHAnsi" w:hAnsiTheme="minorHAnsi" w:cstheme="minorBidi"/>
          <w:sz w:val="22"/>
          <w:szCs w:val="22"/>
        </w:rPr>
      </w:pPr>
      <w:r w:rsidRPr="00846FB2">
        <w:rPr>
          <w:color w:val="C45911" w:themeColor="accent2" w:themeShade="BF"/>
        </w:rPr>
        <w:fldChar w:fldCharType="begin"/>
      </w:r>
      <w:r w:rsidRPr="00846FB2">
        <w:rPr>
          <w:color w:val="C45911" w:themeColor="accent2" w:themeShade="BF"/>
        </w:rPr>
        <w:instrText xml:space="preserve"> TOC \p " " \h \z \t "CoP border heading,1" </w:instrText>
      </w:r>
      <w:r w:rsidRPr="00846FB2">
        <w:rPr>
          <w:color w:val="C45911" w:themeColor="accent2" w:themeShade="BF"/>
        </w:rPr>
        <w:fldChar w:fldCharType="separate"/>
      </w:r>
      <w:hyperlink w:anchor="_Toc410030017" w:history="1">
        <w:r w:rsidRPr="00477ED0">
          <w:rPr>
            <w:rStyle w:val="Hyperlink"/>
          </w:rPr>
          <w:t>1</w:t>
        </w:r>
        <w:r>
          <w:rPr>
            <w:rFonts w:asciiTheme="minorHAnsi" w:hAnsiTheme="minorHAnsi" w:cstheme="minorBidi"/>
            <w:sz w:val="22"/>
            <w:szCs w:val="22"/>
          </w:rPr>
          <w:tab/>
        </w:r>
        <w:r w:rsidRPr="00477ED0">
          <w:rPr>
            <w:rStyle w:val="Hyperlink"/>
          </w:rPr>
          <w:t>Introduction and Context</w:t>
        </w:r>
        <w:r>
          <w:rPr>
            <w:webHidden/>
          </w:rPr>
          <w:t xml:space="preserve"> </w:t>
        </w:r>
        <w:r>
          <w:rPr>
            <w:webHidden/>
          </w:rPr>
          <w:tab/>
        </w:r>
        <w:r>
          <w:rPr>
            <w:webHidden/>
          </w:rPr>
          <w:fldChar w:fldCharType="begin"/>
        </w:r>
        <w:r>
          <w:rPr>
            <w:webHidden/>
          </w:rPr>
          <w:instrText xml:space="preserve"> PAGEREF _Toc410030017 \h </w:instrText>
        </w:r>
        <w:r>
          <w:rPr>
            <w:webHidden/>
          </w:rPr>
        </w:r>
        <w:r>
          <w:rPr>
            <w:webHidden/>
          </w:rPr>
          <w:fldChar w:fldCharType="separate"/>
        </w:r>
        <w:r w:rsidR="00C87B76">
          <w:rPr>
            <w:webHidden/>
          </w:rPr>
          <w:t>3</w:t>
        </w:r>
        <w:r>
          <w:rPr>
            <w:webHidden/>
          </w:rPr>
          <w:fldChar w:fldCharType="end"/>
        </w:r>
      </w:hyperlink>
    </w:p>
    <w:p w14:paraId="47F233D4" w14:textId="3DD5C247" w:rsidR="007C6253" w:rsidRDefault="00492DF7" w:rsidP="007C6253">
      <w:pPr>
        <w:pStyle w:val="TOC1"/>
        <w:rPr>
          <w:rFonts w:asciiTheme="minorHAnsi" w:hAnsiTheme="minorHAnsi" w:cstheme="minorBidi"/>
          <w:sz w:val="22"/>
          <w:szCs w:val="22"/>
        </w:rPr>
      </w:pPr>
      <w:hyperlink w:anchor="_Toc410030018" w:history="1">
        <w:r w:rsidR="007C6253" w:rsidRPr="00477ED0">
          <w:rPr>
            <w:rStyle w:val="Hyperlink"/>
          </w:rPr>
          <w:t>2</w:t>
        </w:r>
        <w:r w:rsidR="007C6253">
          <w:rPr>
            <w:rFonts w:asciiTheme="minorHAnsi" w:hAnsiTheme="minorHAnsi" w:cstheme="minorBidi"/>
            <w:sz w:val="22"/>
            <w:szCs w:val="22"/>
          </w:rPr>
          <w:tab/>
        </w:r>
        <w:r w:rsidR="007C6253" w:rsidRPr="00477ED0">
          <w:rPr>
            <w:rStyle w:val="Hyperlink"/>
          </w:rPr>
          <w:t>Scope</w:t>
        </w:r>
        <w:r w:rsidR="007C6253">
          <w:rPr>
            <w:webHidden/>
          </w:rPr>
          <w:t xml:space="preserve"> </w:t>
        </w:r>
        <w:r w:rsidR="007C6253">
          <w:rPr>
            <w:webHidden/>
          </w:rPr>
          <w:tab/>
        </w:r>
        <w:r w:rsidR="007C6253">
          <w:rPr>
            <w:webHidden/>
          </w:rPr>
          <w:fldChar w:fldCharType="begin"/>
        </w:r>
        <w:r w:rsidR="007C6253">
          <w:rPr>
            <w:webHidden/>
          </w:rPr>
          <w:instrText xml:space="preserve"> PAGEREF _Toc410030018 \h </w:instrText>
        </w:r>
        <w:r w:rsidR="007C6253">
          <w:rPr>
            <w:webHidden/>
          </w:rPr>
        </w:r>
        <w:r w:rsidR="007C6253">
          <w:rPr>
            <w:webHidden/>
          </w:rPr>
          <w:fldChar w:fldCharType="separate"/>
        </w:r>
        <w:r w:rsidR="00C87B76">
          <w:rPr>
            <w:webHidden/>
          </w:rPr>
          <w:t>4</w:t>
        </w:r>
        <w:r w:rsidR="007C6253">
          <w:rPr>
            <w:webHidden/>
          </w:rPr>
          <w:fldChar w:fldCharType="end"/>
        </w:r>
      </w:hyperlink>
    </w:p>
    <w:p w14:paraId="4700027F" w14:textId="0B75C614" w:rsidR="00991BC5" w:rsidRPr="00991BC5" w:rsidRDefault="00492DF7" w:rsidP="00991BC5">
      <w:pPr>
        <w:pStyle w:val="TOC1"/>
        <w:rPr>
          <w:color w:val="000000" w:themeColor="text1"/>
        </w:rPr>
      </w:pPr>
      <w:hyperlink w:anchor="_Toc410030019" w:history="1">
        <w:r w:rsidR="007C6253" w:rsidRPr="00991BC5">
          <w:rPr>
            <w:rStyle w:val="Hyperlink"/>
            <w:color w:val="000000" w:themeColor="text1"/>
          </w:rPr>
          <w:t>3</w:t>
        </w:r>
        <w:r w:rsidR="007C6253" w:rsidRPr="00991BC5">
          <w:rPr>
            <w:rFonts w:asciiTheme="minorHAnsi" w:hAnsiTheme="minorHAnsi" w:cstheme="minorBidi"/>
            <w:color w:val="000000" w:themeColor="text1"/>
            <w:sz w:val="22"/>
            <w:szCs w:val="22"/>
          </w:rPr>
          <w:tab/>
        </w:r>
        <w:r w:rsidR="007C6253" w:rsidRPr="00991BC5">
          <w:rPr>
            <w:rStyle w:val="Hyperlink"/>
            <w:color w:val="000000" w:themeColor="text1"/>
          </w:rPr>
          <w:t>Roles and Responsibilities</w:t>
        </w:r>
        <w:r w:rsidR="007C6253" w:rsidRPr="00991BC5">
          <w:rPr>
            <w:webHidden/>
            <w:color w:val="000000" w:themeColor="text1"/>
          </w:rPr>
          <w:t xml:space="preserve"> </w:t>
        </w:r>
        <w:r w:rsidR="007C6253" w:rsidRPr="00991BC5">
          <w:rPr>
            <w:webHidden/>
            <w:color w:val="000000" w:themeColor="text1"/>
          </w:rPr>
          <w:tab/>
        </w:r>
        <w:r w:rsidR="007C6253" w:rsidRPr="00991BC5">
          <w:rPr>
            <w:webHidden/>
            <w:color w:val="000000" w:themeColor="text1"/>
          </w:rPr>
          <w:fldChar w:fldCharType="begin"/>
        </w:r>
        <w:r w:rsidR="007C6253" w:rsidRPr="00991BC5">
          <w:rPr>
            <w:webHidden/>
            <w:color w:val="000000" w:themeColor="text1"/>
          </w:rPr>
          <w:instrText xml:space="preserve"> PAGEREF _Toc410030019 \h </w:instrText>
        </w:r>
        <w:r w:rsidR="007C6253" w:rsidRPr="00991BC5">
          <w:rPr>
            <w:webHidden/>
            <w:color w:val="000000" w:themeColor="text1"/>
          </w:rPr>
        </w:r>
        <w:r w:rsidR="007C6253" w:rsidRPr="00991BC5">
          <w:rPr>
            <w:webHidden/>
            <w:color w:val="000000" w:themeColor="text1"/>
          </w:rPr>
          <w:fldChar w:fldCharType="separate"/>
        </w:r>
        <w:r w:rsidR="00C87B76">
          <w:rPr>
            <w:webHidden/>
            <w:color w:val="000000" w:themeColor="text1"/>
          </w:rPr>
          <w:t>4</w:t>
        </w:r>
        <w:r w:rsidR="007C6253" w:rsidRPr="00991BC5">
          <w:rPr>
            <w:webHidden/>
            <w:color w:val="000000" w:themeColor="text1"/>
          </w:rPr>
          <w:fldChar w:fldCharType="end"/>
        </w:r>
      </w:hyperlink>
    </w:p>
    <w:p w14:paraId="0C1AAC3A" w14:textId="593ACFD6" w:rsidR="00991BC5" w:rsidRPr="00991BC5" w:rsidRDefault="00991BC5" w:rsidP="00991BC5">
      <w:pPr>
        <w:rPr>
          <w:rStyle w:val="Hyperlink"/>
          <w:rFonts w:ascii="Arial" w:hAnsi="Arial" w:cs="Arial"/>
          <w:bCs/>
          <w:noProof/>
          <w:color w:val="000000" w:themeColor="text1"/>
          <w:sz w:val="28"/>
          <w:szCs w:val="28"/>
          <w:u w:val="none"/>
        </w:rPr>
      </w:pPr>
      <w:r w:rsidRPr="00991BC5">
        <w:rPr>
          <w:rStyle w:val="Hyperlink"/>
          <w:rFonts w:ascii="Arial" w:hAnsi="Arial" w:cs="Arial"/>
          <w:bCs/>
          <w:noProof/>
          <w:color w:val="000000" w:themeColor="text1"/>
          <w:sz w:val="28"/>
          <w:szCs w:val="28"/>
          <w:u w:val="none"/>
        </w:rPr>
        <w:t xml:space="preserve">4     </w:t>
      </w:r>
      <w:r w:rsidR="00AC68F9">
        <w:rPr>
          <w:rStyle w:val="Hyperlink"/>
          <w:rFonts w:ascii="Arial" w:hAnsi="Arial" w:cs="Arial"/>
          <w:bCs/>
          <w:noProof/>
          <w:color w:val="000000" w:themeColor="text1"/>
          <w:sz w:val="28"/>
          <w:szCs w:val="28"/>
          <w:u w:val="none"/>
        </w:rPr>
        <w:t>Health &amp; Wellbeing</w:t>
      </w:r>
      <w:r w:rsidRPr="00991BC5">
        <w:rPr>
          <w:rStyle w:val="Hyperlink"/>
          <w:rFonts w:ascii="Arial" w:hAnsi="Arial" w:cs="Arial"/>
          <w:bCs/>
          <w:noProof/>
          <w:color w:val="000000" w:themeColor="text1"/>
          <w:sz w:val="28"/>
          <w:szCs w:val="28"/>
          <w:u w:val="none"/>
        </w:rPr>
        <w:t xml:space="preserve">                                                                      </w:t>
      </w:r>
      <w:r w:rsidR="00CC0DF6">
        <w:rPr>
          <w:rStyle w:val="Hyperlink"/>
          <w:rFonts w:ascii="Arial" w:hAnsi="Arial" w:cs="Arial"/>
          <w:bCs/>
          <w:noProof/>
          <w:color w:val="000000" w:themeColor="text1"/>
          <w:sz w:val="28"/>
          <w:szCs w:val="28"/>
          <w:u w:val="none"/>
        </w:rPr>
        <w:t>5</w:t>
      </w:r>
    </w:p>
    <w:p w14:paraId="726EC253" w14:textId="65CA2716" w:rsidR="007C6253" w:rsidRDefault="00492DF7" w:rsidP="007C6253">
      <w:pPr>
        <w:pStyle w:val="TOC1"/>
      </w:pPr>
      <w:hyperlink w:anchor="_Toc410030019" w:history="1">
        <w:r w:rsidR="00991BC5">
          <w:rPr>
            <w:rStyle w:val="Hyperlink"/>
          </w:rPr>
          <w:t>5</w:t>
        </w:r>
        <w:r w:rsidR="007C6253">
          <w:rPr>
            <w:rFonts w:asciiTheme="minorHAnsi" w:hAnsiTheme="minorHAnsi" w:cstheme="minorBidi"/>
            <w:sz w:val="22"/>
            <w:szCs w:val="22"/>
          </w:rPr>
          <w:tab/>
        </w:r>
        <w:r w:rsidR="00AC68F9">
          <w:rPr>
            <w:rStyle w:val="Hyperlink"/>
          </w:rPr>
          <w:t>Disclosure of disabilities</w:t>
        </w:r>
        <w:r w:rsidR="007C6253">
          <w:rPr>
            <w:webHidden/>
          </w:rPr>
          <w:tab/>
        </w:r>
        <w:r w:rsidR="00FC5C28">
          <w:rPr>
            <w:webHidden/>
          </w:rPr>
          <w:t>5</w:t>
        </w:r>
      </w:hyperlink>
    </w:p>
    <w:p w14:paraId="1E21DEBE" w14:textId="4CBFAE37" w:rsidR="007C6253" w:rsidRDefault="00492DF7" w:rsidP="007C6253">
      <w:pPr>
        <w:pStyle w:val="TOC1"/>
      </w:pPr>
      <w:hyperlink w:anchor="_Toc410030019" w:history="1">
        <w:r w:rsidR="00991BC5">
          <w:rPr>
            <w:rStyle w:val="Hyperlink"/>
          </w:rPr>
          <w:t>6</w:t>
        </w:r>
        <w:r w:rsidR="007C6253">
          <w:rPr>
            <w:rFonts w:asciiTheme="minorHAnsi" w:hAnsiTheme="minorHAnsi" w:cstheme="minorBidi"/>
            <w:sz w:val="22"/>
            <w:szCs w:val="22"/>
          </w:rPr>
          <w:tab/>
        </w:r>
        <w:r w:rsidR="007C6253">
          <w:rPr>
            <w:rStyle w:val="Hyperlink"/>
          </w:rPr>
          <w:t>Disability Support</w:t>
        </w:r>
        <w:r w:rsidR="007C6253">
          <w:rPr>
            <w:webHidden/>
          </w:rPr>
          <w:tab/>
        </w:r>
        <w:r w:rsidR="004B0F9C">
          <w:rPr>
            <w:webHidden/>
          </w:rPr>
          <w:t>6</w:t>
        </w:r>
      </w:hyperlink>
    </w:p>
    <w:p w14:paraId="146AEAC7" w14:textId="708B64E5" w:rsidR="007C6253" w:rsidRDefault="00492DF7" w:rsidP="007C6253">
      <w:pPr>
        <w:pStyle w:val="TOC1"/>
      </w:pPr>
      <w:hyperlink w:anchor="_Toc410030019" w:history="1">
        <w:r w:rsidR="00991BC5">
          <w:rPr>
            <w:rStyle w:val="Hyperlink"/>
          </w:rPr>
          <w:t>7</w:t>
        </w:r>
        <w:r w:rsidR="007C6253">
          <w:rPr>
            <w:rFonts w:asciiTheme="minorHAnsi" w:hAnsiTheme="minorHAnsi" w:cstheme="minorBidi"/>
            <w:sz w:val="22"/>
            <w:szCs w:val="22"/>
          </w:rPr>
          <w:tab/>
        </w:r>
        <w:r w:rsidR="007C6253">
          <w:rPr>
            <w:rStyle w:val="Hyperlink"/>
          </w:rPr>
          <w:t>Personal Tutors</w:t>
        </w:r>
        <w:r w:rsidR="007C6253">
          <w:rPr>
            <w:webHidden/>
          </w:rPr>
          <w:tab/>
        </w:r>
        <w:r w:rsidR="004B0F9C">
          <w:rPr>
            <w:webHidden/>
          </w:rPr>
          <w:t>7</w:t>
        </w:r>
      </w:hyperlink>
    </w:p>
    <w:p w14:paraId="64BDA045" w14:textId="2EAAA698" w:rsidR="007C6253" w:rsidRDefault="00492DF7" w:rsidP="007C6253">
      <w:pPr>
        <w:pStyle w:val="TOC1"/>
      </w:pPr>
      <w:hyperlink w:anchor="_Toc410030019" w:history="1">
        <w:r w:rsidR="00991BC5">
          <w:rPr>
            <w:rStyle w:val="Hyperlink"/>
          </w:rPr>
          <w:t>8</w:t>
        </w:r>
        <w:r w:rsidR="007C6253">
          <w:rPr>
            <w:rFonts w:asciiTheme="minorHAnsi" w:hAnsiTheme="minorHAnsi" w:cstheme="minorBidi"/>
            <w:sz w:val="22"/>
            <w:szCs w:val="22"/>
          </w:rPr>
          <w:tab/>
        </w:r>
        <w:r w:rsidR="007C6253">
          <w:rPr>
            <w:rStyle w:val="Hyperlink"/>
          </w:rPr>
          <w:t>Mechanisms for reporting concerns</w:t>
        </w:r>
        <w:r w:rsidR="007C6253">
          <w:rPr>
            <w:webHidden/>
          </w:rPr>
          <w:t xml:space="preserve"> </w:t>
        </w:r>
        <w:r w:rsidR="007C6253">
          <w:rPr>
            <w:webHidden/>
          </w:rPr>
          <w:tab/>
        </w:r>
        <w:r w:rsidR="004B0F9C">
          <w:rPr>
            <w:webHidden/>
          </w:rPr>
          <w:t>8</w:t>
        </w:r>
      </w:hyperlink>
    </w:p>
    <w:p w14:paraId="59BA57F3" w14:textId="77777777" w:rsidR="007C6253" w:rsidRPr="00DF35C9" w:rsidRDefault="007C6253" w:rsidP="007C6253"/>
    <w:p w14:paraId="5CCCD9CC" w14:textId="77777777" w:rsidR="007C6253" w:rsidRPr="00DF35C9" w:rsidRDefault="007C6253" w:rsidP="007C6253"/>
    <w:p w14:paraId="39CC3CC1" w14:textId="77777777" w:rsidR="007C6253" w:rsidRPr="00DF35C9" w:rsidRDefault="007C6253" w:rsidP="007C6253"/>
    <w:p w14:paraId="6B438330" w14:textId="77777777" w:rsidR="007C6253" w:rsidRPr="00DF35C9" w:rsidRDefault="007C6253" w:rsidP="007C6253"/>
    <w:p w14:paraId="180CC8CB" w14:textId="77777777" w:rsidR="007C6253" w:rsidRPr="00DF35C9" w:rsidRDefault="007C6253" w:rsidP="007C6253"/>
    <w:p w14:paraId="3D7FCD11" w14:textId="77777777" w:rsidR="007C6253" w:rsidRPr="00846FB2" w:rsidRDefault="007C6253" w:rsidP="007C6253">
      <w:pPr>
        <w:spacing w:before="240" w:after="240"/>
        <w:rPr>
          <w:color w:val="C45911" w:themeColor="accent2" w:themeShade="BF"/>
          <w:sz w:val="24"/>
          <w:szCs w:val="24"/>
        </w:rPr>
      </w:pPr>
      <w:r w:rsidRPr="00846FB2">
        <w:rPr>
          <w:rFonts w:ascii="Arial" w:hAnsi="Arial" w:cs="Arial"/>
          <w:color w:val="C45911" w:themeColor="accent2" w:themeShade="BF"/>
          <w:sz w:val="28"/>
          <w:szCs w:val="28"/>
        </w:rPr>
        <w:fldChar w:fldCharType="end"/>
      </w:r>
    </w:p>
    <w:p w14:paraId="6AEADD4A" w14:textId="77777777" w:rsidR="007C6253" w:rsidRDefault="007C6253" w:rsidP="007C6253">
      <w:pPr>
        <w:rPr>
          <w:rFonts w:ascii="Arial" w:hAnsi="Arial" w:cs="Arial"/>
          <w:b/>
          <w:bCs/>
          <w:color w:val="C45911" w:themeColor="accent2" w:themeShade="BF"/>
          <w:sz w:val="24"/>
          <w:szCs w:val="24"/>
        </w:rPr>
      </w:pPr>
      <w:r>
        <w:rPr>
          <w:color w:val="C45911" w:themeColor="accent2" w:themeShade="BF"/>
          <w:sz w:val="24"/>
          <w:szCs w:val="24"/>
        </w:rPr>
        <w:br w:type="page"/>
      </w:r>
    </w:p>
    <w:p w14:paraId="4F385119" w14:textId="77777777" w:rsidR="007C6253" w:rsidRPr="00D23717" w:rsidRDefault="007C6253" w:rsidP="007C6253">
      <w:pPr>
        <w:pStyle w:val="CoPborderheading"/>
      </w:pPr>
      <w:bookmarkStart w:id="0" w:name="_Toc342395970"/>
      <w:bookmarkStart w:id="1" w:name="_Toc410030017"/>
      <w:r w:rsidRPr="00D23717">
        <w:lastRenderedPageBreak/>
        <w:t>Introduction and Context</w:t>
      </w:r>
      <w:bookmarkEnd w:id="0"/>
      <w:bookmarkEnd w:id="1"/>
      <w:r w:rsidRPr="00D23717">
        <w:t xml:space="preserve"> </w:t>
      </w:r>
    </w:p>
    <w:p w14:paraId="3E8C179B" w14:textId="2378E6CC" w:rsidR="007C6253" w:rsidRDefault="007C6253" w:rsidP="007C6253">
      <w:pPr>
        <w:pStyle w:val="CoPNumberlevel1"/>
      </w:pPr>
      <w:bookmarkStart w:id="2" w:name="_Toc342395969"/>
      <w:r w:rsidRPr="005E095A">
        <w:t>This Co</w:t>
      </w:r>
      <w:r>
        <w:t xml:space="preserve">de of Practice </w:t>
      </w:r>
      <w:r w:rsidRPr="005E095A">
        <w:t>is intended to provide information for applicants</w:t>
      </w:r>
      <w:r>
        <w:t xml:space="preserve"> to the Liverpool School of Tropical Medicine (LSTM) and </w:t>
      </w:r>
      <w:r w:rsidRPr="005E095A">
        <w:t xml:space="preserve">students and staff </w:t>
      </w:r>
      <w:r>
        <w:t xml:space="preserve">of LSTM </w:t>
      </w:r>
      <w:r w:rsidRPr="005E095A">
        <w:t xml:space="preserve">on the principles and procedures </w:t>
      </w:r>
      <w:r>
        <w:t>underpinning student support</w:t>
      </w:r>
      <w:r w:rsidR="00765F9A">
        <w:t xml:space="preserve"> and welfare</w:t>
      </w:r>
      <w:r w:rsidRPr="005E095A">
        <w:t>.</w:t>
      </w:r>
      <w:r>
        <w:t xml:space="preserve"> </w:t>
      </w:r>
      <w:r w:rsidRPr="005E095A">
        <w:t xml:space="preserve"> </w:t>
      </w:r>
      <w:r>
        <w:t xml:space="preserve">It </w:t>
      </w:r>
      <w:r w:rsidRPr="005E095A">
        <w:t xml:space="preserve">outlines </w:t>
      </w:r>
      <w:r>
        <w:t xml:space="preserve">LSTM’s </w:t>
      </w:r>
      <w:r w:rsidRPr="005E095A">
        <w:t xml:space="preserve">approach </w:t>
      </w:r>
      <w:r>
        <w:t xml:space="preserve">to student support </w:t>
      </w:r>
      <w:r w:rsidR="00765F9A">
        <w:t xml:space="preserve">and welfare </w:t>
      </w:r>
      <w:r w:rsidRPr="005E095A">
        <w:t>and explains the institutional, national and legal context within which the process</w:t>
      </w:r>
      <w:r>
        <w:t>es function.</w:t>
      </w:r>
    </w:p>
    <w:p w14:paraId="1F7261E3" w14:textId="02898956" w:rsidR="007C6253" w:rsidRDefault="00765F9A" w:rsidP="007C6253">
      <w:pPr>
        <w:pStyle w:val="CoPNumberlevel1"/>
      </w:pPr>
      <w:r>
        <w:t xml:space="preserve">LSTM aims to ensure the health and well-being of all LSTM students and also to provide additional support where necessary to students with disabilities. </w:t>
      </w:r>
      <w:r w:rsidR="007C6253">
        <w:t>LSTM</w:t>
      </w:r>
      <w:r w:rsidR="007C6253" w:rsidRPr="005E095A">
        <w:t xml:space="preserve"> </w:t>
      </w:r>
      <w:r w:rsidR="007C6253">
        <w:t xml:space="preserve">considers </w:t>
      </w:r>
      <w:r w:rsidR="007C6253" w:rsidRPr="005E095A">
        <w:t xml:space="preserve">the single term 'disability' </w:t>
      </w:r>
      <w:r w:rsidR="007C6253">
        <w:t xml:space="preserve">to </w:t>
      </w:r>
      <w:r w:rsidR="007C6253" w:rsidRPr="005E095A">
        <w:t>cover</w:t>
      </w:r>
      <w:r w:rsidR="007C6253">
        <w:t xml:space="preserve"> a </w:t>
      </w:r>
      <w:r w:rsidR="007C6253" w:rsidRPr="005E095A">
        <w:t xml:space="preserve">broad range of physical and sensory impairments, medical conditions, specific learning difficulties </w:t>
      </w:r>
      <w:r w:rsidR="007C6253">
        <w:t>and mental health difficulties.</w:t>
      </w:r>
    </w:p>
    <w:p w14:paraId="02220D5F" w14:textId="3EC86724" w:rsidR="007C6253" w:rsidRDefault="007C6253" w:rsidP="007C6253">
      <w:pPr>
        <w:pStyle w:val="CoPNumberlevel1"/>
      </w:pPr>
      <w:r w:rsidRPr="005E095A">
        <w:t xml:space="preserve">LSTM ensures that </w:t>
      </w:r>
      <w:r>
        <w:t xml:space="preserve">in </w:t>
      </w:r>
      <w:r w:rsidRPr="005E095A">
        <w:t xml:space="preserve">all policies, procedures and activities, including strategic planning and resource allocation, consideration is given to the removal of </w:t>
      </w:r>
      <w:r>
        <w:t xml:space="preserve">social, attitudinal and environmental </w:t>
      </w:r>
      <w:r w:rsidRPr="005E095A">
        <w:t xml:space="preserve">barriers </w:t>
      </w:r>
      <w:r>
        <w:t xml:space="preserve">so that </w:t>
      </w:r>
      <w:r w:rsidR="000522A8">
        <w:t>all</w:t>
      </w:r>
      <w:r w:rsidR="000522A8" w:rsidRPr="005E095A">
        <w:t xml:space="preserve"> </w:t>
      </w:r>
      <w:r w:rsidRPr="005E095A">
        <w:t xml:space="preserve">students </w:t>
      </w:r>
      <w:r>
        <w:t xml:space="preserve">can </w:t>
      </w:r>
      <w:r w:rsidRPr="005E095A">
        <w:t xml:space="preserve">participate </w:t>
      </w:r>
      <w:r w:rsidR="000522A8">
        <w:t xml:space="preserve">fully </w:t>
      </w:r>
      <w:r w:rsidRPr="005E095A">
        <w:t>in all aspects of the academic and social life of the institution.</w:t>
      </w:r>
    </w:p>
    <w:p w14:paraId="6F67A90F" w14:textId="39B0784C" w:rsidR="007C6253" w:rsidRPr="005E095A" w:rsidRDefault="007C6253" w:rsidP="007C6253">
      <w:pPr>
        <w:pStyle w:val="CoPNumberlevel1"/>
      </w:pPr>
      <w:r w:rsidRPr="005E095A">
        <w:t>LSTM is committed to de</w:t>
      </w:r>
      <w:r>
        <w:t xml:space="preserve">livering </w:t>
      </w:r>
      <w:r w:rsidRPr="005E095A">
        <w:t>a fully inclusive learning environment</w:t>
      </w:r>
      <w:r>
        <w:t xml:space="preserve"> that enables all</w:t>
      </w:r>
      <w:r w:rsidRPr="005E095A">
        <w:t xml:space="preserve"> students to achieve their learning objectives and to </w:t>
      </w:r>
      <w:r>
        <w:t>fulfil their academic, personal and professional potential</w:t>
      </w:r>
      <w:r w:rsidRPr="005E095A">
        <w:t xml:space="preserve">. </w:t>
      </w:r>
      <w:r>
        <w:t xml:space="preserve"> LSTM will make </w:t>
      </w:r>
      <w:r w:rsidRPr="005E095A">
        <w:t xml:space="preserve">reasonable adjustments in order to </w:t>
      </w:r>
      <w:r>
        <w:t xml:space="preserve">ensure </w:t>
      </w:r>
      <w:r w:rsidR="000522A8">
        <w:t xml:space="preserve">no </w:t>
      </w:r>
      <w:r>
        <w:t xml:space="preserve">student </w:t>
      </w:r>
      <w:r w:rsidR="000522A8">
        <w:t>is</w:t>
      </w:r>
      <w:r>
        <w:t xml:space="preserve"> disadvantaged.</w:t>
      </w:r>
    </w:p>
    <w:p w14:paraId="660A2B28" w14:textId="016678FD" w:rsidR="00AF039C" w:rsidRDefault="00BB1A45" w:rsidP="00AF039C">
      <w:pPr>
        <w:pStyle w:val="CoPNumberlevel1"/>
        <w:numPr>
          <w:ilvl w:val="0"/>
          <w:numId w:val="0"/>
        </w:numPr>
        <w:ind w:left="1276" w:hanging="709"/>
      </w:pPr>
      <w:r>
        <w:t>1.5</w:t>
      </w:r>
      <w:r>
        <w:tab/>
      </w:r>
      <w:r w:rsidR="007C6253">
        <w:t xml:space="preserve">This Code of Practice complies with all current statutory and legislative requirements including the Data Protection Act 1998 and the Equality Act 2010.  It is set </w:t>
      </w:r>
      <w:r w:rsidR="007C6253" w:rsidRPr="00640D66">
        <w:t>within the context of the UK Quality Code for Higher Education Chapter B</w:t>
      </w:r>
      <w:r w:rsidR="007C6253" w:rsidRPr="00DB7411">
        <w:t>4</w:t>
      </w:r>
      <w:r w:rsidR="007C6253">
        <w:t xml:space="preserve"> (</w:t>
      </w:r>
      <w:r w:rsidR="007C6253" w:rsidRPr="00DB7411">
        <w:t>Enabling s</w:t>
      </w:r>
      <w:r w:rsidR="007C6253" w:rsidRPr="00640D66">
        <w:t xml:space="preserve">tudent </w:t>
      </w:r>
      <w:r w:rsidR="007C6253" w:rsidRPr="00DB7411">
        <w:t>development and achievement</w:t>
      </w:r>
      <w:r w:rsidR="007C6253">
        <w:t xml:space="preserve">, </w:t>
      </w:r>
      <w:r w:rsidR="007C6253" w:rsidRPr="00DB7411">
        <w:t>March 2013</w:t>
      </w:r>
      <w:r w:rsidR="007C6253" w:rsidRPr="00640D66">
        <w:t>)</w:t>
      </w:r>
      <w:r w:rsidR="00AF039C">
        <w:t xml:space="preserve"> </w:t>
      </w:r>
      <w:r w:rsidR="007D0D6E">
        <w:t>the P</w:t>
      </w:r>
      <w:r w:rsidR="00AF039C">
        <w:t>revent</w:t>
      </w:r>
      <w:r w:rsidR="007D0D6E">
        <w:t xml:space="preserve"> Guidelines</w:t>
      </w:r>
      <w:r>
        <w:t xml:space="preserve"> </w:t>
      </w:r>
      <w:r w:rsidR="00AF039C">
        <w:t xml:space="preserve">and definition of Prevent Duty </w:t>
      </w:r>
      <w:r>
        <w:t xml:space="preserve">contained within the </w:t>
      </w:r>
      <w:r w:rsidR="007D0D6E">
        <w:t>Counter-Terrorism and Security Act, February 2015</w:t>
      </w:r>
      <w:r w:rsidR="00AF039C">
        <w:t xml:space="preserve"> and the HEFCE guidance to Relevant Higher Education Bodies (RHEBs). </w:t>
      </w:r>
    </w:p>
    <w:p w14:paraId="4A048569" w14:textId="4089157D" w:rsidR="007C6253" w:rsidRPr="00640D66" w:rsidRDefault="007C6253" w:rsidP="00AF039C">
      <w:pPr>
        <w:pStyle w:val="CoPNumberlevel1"/>
        <w:numPr>
          <w:ilvl w:val="0"/>
          <w:numId w:val="0"/>
        </w:numPr>
        <w:ind w:left="1276" w:hanging="709"/>
      </w:pPr>
      <w:r w:rsidRPr="00640D66">
        <w:t>Related documents are:</w:t>
      </w:r>
    </w:p>
    <w:p w14:paraId="2A7EF91E" w14:textId="77777777" w:rsidR="007C6253" w:rsidRPr="0016412A" w:rsidRDefault="007C6253" w:rsidP="007C6253">
      <w:pPr>
        <w:pStyle w:val="CoPbullet"/>
        <w:numPr>
          <w:ilvl w:val="0"/>
          <w:numId w:val="4"/>
        </w:numPr>
        <w:ind w:left="1134" w:hanging="425"/>
        <w:jc w:val="left"/>
      </w:pPr>
      <w:r w:rsidRPr="00640D66">
        <w:t>LSTM St</w:t>
      </w:r>
      <w:r w:rsidRPr="0016412A">
        <w:t>udent Charter</w:t>
      </w:r>
    </w:p>
    <w:p w14:paraId="6427C3EC" w14:textId="77777777" w:rsidR="007C6253" w:rsidRDefault="007C6253" w:rsidP="007C6253">
      <w:pPr>
        <w:pStyle w:val="CoPbullet"/>
        <w:numPr>
          <w:ilvl w:val="0"/>
          <w:numId w:val="4"/>
        </w:numPr>
        <w:ind w:left="1134" w:hanging="425"/>
        <w:jc w:val="left"/>
      </w:pPr>
      <w:r>
        <w:t>Code of Practice on Admissions</w:t>
      </w:r>
    </w:p>
    <w:p w14:paraId="64940E46" w14:textId="77777777" w:rsidR="007C6253" w:rsidRPr="0016412A" w:rsidRDefault="007C6253" w:rsidP="007C6253">
      <w:pPr>
        <w:pStyle w:val="CoPbullet"/>
        <w:numPr>
          <w:ilvl w:val="0"/>
          <w:numId w:val="4"/>
        </w:numPr>
        <w:ind w:left="1134" w:hanging="425"/>
        <w:jc w:val="left"/>
      </w:pPr>
      <w:r w:rsidRPr="0016412A">
        <w:t>Code of Practice on Assessment</w:t>
      </w:r>
      <w:r>
        <w:t xml:space="preserve"> and Feedback</w:t>
      </w:r>
    </w:p>
    <w:p w14:paraId="1EF46F98" w14:textId="77777777" w:rsidR="007C6253" w:rsidRPr="0016412A" w:rsidRDefault="007C6253" w:rsidP="007C6253">
      <w:pPr>
        <w:pStyle w:val="CoPbullet"/>
        <w:numPr>
          <w:ilvl w:val="0"/>
          <w:numId w:val="4"/>
        </w:numPr>
        <w:ind w:left="1134" w:hanging="425"/>
        <w:jc w:val="left"/>
      </w:pPr>
      <w:r>
        <w:t>Procedure for Examination Arrangements for Students with Additional Support N</w:t>
      </w:r>
      <w:r w:rsidRPr="0016412A">
        <w:t>eeds</w:t>
      </w:r>
    </w:p>
    <w:p w14:paraId="2269DDBB" w14:textId="77777777" w:rsidR="007C6253" w:rsidRDefault="007C6253" w:rsidP="007C6253">
      <w:pPr>
        <w:pStyle w:val="CoPbullet"/>
        <w:numPr>
          <w:ilvl w:val="0"/>
          <w:numId w:val="4"/>
        </w:numPr>
        <w:ind w:left="1134" w:hanging="425"/>
        <w:jc w:val="left"/>
      </w:pPr>
      <w:r>
        <w:t>Guidelines for Marking and Feedback for Students with Specific Learning D</w:t>
      </w:r>
      <w:r w:rsidRPr="0016412A">
        <w:t>ifficultie</w:t>
      </w:r>
      <w:r>
        <w:t>s</w:t>
      </w:r>
    </w:p>
    <w:p w14:paraId="526C1BA9" w14:textId="77777777" w:rsidR="007C6253" w:rsidRDefault="007C6253" w:rsidP="007C6253">
      <w:pPr>
        <w:pStyle w:val="CoPbullet"/>
        <w:numPr>
          <w:ilvl w:val="0"/>
          <w:numId w:val="4"/>
        </w:numPr>
        <w:ind w:left="1134" w:hanging="425"/>
        <w:jc w:val="left"/>
      </w:pPr>
      <w:r>
        <w:t>Guidelines on Supporting D</w:t>
      </w:r>
      <w:r w:rsidRPr="00E34C94">
        <w:t xml:space="preserve">ocumentation for </w:t>
      </w:r>
      <w:r>
        <w:t>Learner Support Claims</w:t>
      </w:r>
    </w:p>
    <w:p w14:paraId="186DFC3C" w14:textId="10EB7971" w:rsidR="0017083F" w:rsidRDefault="0017083F" w:rsidP="007C6253">
      <w:pPr>
        <w:pStyle w:val="CoPbullet"/>
        <w:numPr>
          <w:ilvl w:val="0"/>
          <w:numId w:val="4"/>
        </w:numPr>
        <w:ind w:left="1134" w:hanging="425"/>
        <w:jc w:val="left"/>
      </w:pPr>
      <w:r w:rsidRPr="00384E40">
        <w:t>Overview of the Personal Tutoring System</w:t>
      </w:r>
    </w:p>
    <w:p w14:paraId="349EAC22" w14:textId="463E6426" w:rsidR="0085443E" w:rsidRPr="0085443E" w:rsidRDefault="0085443E" w:rsidP="007C6253">
      <w:pPr>
        <w:pStyle w:val="CoPbullet"/>
        <w:numPr>
          <w:ilvl w:val="0"/>
          <w:numId w:val="4"/>
        </w:numPr>
        <w:ind w:left="1134" w:hanging="425"/>
        <w:jc w:val="left"/>
      </w:pPr>
      <w:r w:rsidRPr="00991BC5">
        <w:t>Emergency Mental Health Procedure</w:t>
      </w:r>
    </w:p>
    <w:p w14:paraId="719FD8B1" w14:textId="1D3838E5" w:rsidR="0085443E" w:rsidRDefault="0017083F" w:rsidP="0085443E">
      <w:pPr>
        <w:pStyle w:val="CoPbullet"/>
        <w:numPr>
          <w:ilvl w:val="0"/>
          <w:numId w:val="4"/>
        </w:numPr>
        <w:ind w:left="1134" w:hanging="425"/>
        <w:jc w:val="left"/>
      </w:pPr>
      <w:r>
        <w:t>LSTM Policy in Response to Prevent Guidelines</w:t>
      </w:r>
    </w:p>
    <w:p w14:paraId="142BE3FC" w14:textId="54C5E007" w:rsidR="0017083F" w:rsidRPr="002316D4" w:rsidRDefault="002316D4" w:rsidP="007C6253">
      <w:pPr>
        <w:pStyle w:val="CoPbullet"/>
        <w:numPr>
          <w:ilvl w:val="0"/>
          <w:numId w:val="4"/>
        </w:numPr>
        <w:ind w:left="1134" w:hanging="425"/>
        <w:jc w:val="left"/>
      </w:pPr>
      <w:r w:rsidRPr="00384E40">
        <w:t>Procedure for Reporting Student P</w:t>
      </w:r>
      <w:r w:rsidR="00AF039C">
        <w:t>revent</w:t>
      </w:r>
      <w:r w:rsidRPr="00384E40">
        <w:t xml:space="preserve"> concerns</w:t>
      </w:r>
    </w:p>
    <w:p w14:paraId="72D608C5" w14:textId="77777777" w:rsidR="007C6253" w:rsidRPr="00A07F52" w:rsidRDefault="007C6253" w:rsidP="007C6253">
      <w:pPr>
        <w:pStyle w:val="CoPborderheading"/>
      </w:pPr>
      <w:bookmarkStart w:id="3" w:name="_Toc410030018"/>
      <w:r w:rsidRPr="00A07F52">
        <w:lastRenderedPageBreak/>
        <w:t>Scope</w:t>
      </w:r>
      <w:bookmarkEnd w:id="2"/>
      <w:bookmarkEnd w:id="3"/>
      <w:r w:rsidRPr="00A07F52">
        <w:t xml:space="preserve"> </w:t>
      </w:r>
    </w:p>
    <w:p w14:paraId="181B5FAF" w14:textId="77777777" w:rsidR="007C6253" w:rsidRPr="005E095A" w:rsidRDefault="007C6253" w:rsidP="007C6253">
      <w:pPr>
        <w:pStyle w:val="CoPNumberlevel1"/>
      </w:pPr>
      <w:bookmarkStart w:id="4" w:name="_Toc342395973"/>
      <w:r w:rsidRPr="005E095A">
        <w:t>Th</w:t>
      </w:r>
      <w:r>
        <w:t>is</w:t>
      </w:r>
      <w:r w:rsidRPr="005E095A">
        <w:t xml:space="preserve"> </w:t>
      </w:r>
      <w:r>
        <w:t xml:space="preserve">Code of Practice </w:t>
      </w:r>
      <w:r w:rsidRPr="005E095A">
        <w:t xml:space="preserve">applies to </w:t>
      </w:r>
      <w:r>
        <w:t xml:space="preserve">all LSTM staff and to </w:t>
      </w:r>
      <w:r w:rsidRPr="005E095A">
        <w:t xml:space="preserve">all applicants </w:t>
      </w:r>
      <w:r>
        <w:t xml:space="preserve">for </w:t>
      </w:r>
      <w:r w:rsidRPr="005E095A">
        <w:t xml:space="preserve">and students </w:t>
      </w:r>
      <w:r>
        <w:t>studying on LSTM programmes and short courses.</w:t>
      </w:r>
    </w:p>
    <w:p w14:paraId="6D3288A0" w14:textId="77777777" w:rsidR="007C6253" w:rsidRPr="00A07F52" w:rsidRDefault="007C6253" w:rsidP="007C6253">
      <w:pPr>
        <w:pStyle w:val="CoPborderheading"/>
      </w:pPr>
      <w:bookmarkStart w:id="5" w:name="_Toc410030019"/>
      <w:r w:rsidRPr="00A07F52">
        <w:t>Roles and Responsibilities</w:t>
      </w:r>
      <w:bookmarkEnd w:id="4"/>
      <w:bookmarkEnd w:id="5"/>
    </w:p>
    <w:p w14:paraId="46B049FA" w14:textId="7B904E11" w:rsidR="007C6253" w:rsidRPr="005E095A" w:rsidRDefault="007C6253" w:rsidP="007C6253">
      <w:pPr>
        <w:pStyle w:val="CoPNumberlevel1"/>
      </w:pPr>
      <w:r w:rsidRPr="005E095A">
        <w:t>The D</w:t>
      </w:r>
      <w:r w:rsidR="00492DF7">
        <w:t>ean</w:t>
      </w:r>
      <w:r w:rsidRPr="005E095A">
        <w:t xml:space="preserve"> of Education </w:t>
      </w:r>
      <w:r>
        <w:t>will</w:t>
      </w:r>
      <w:r w:rsidRPr="005E095A">
        <w:t>:</w:t>
      </w:r>
    </w:p>
    <w:p w14:paraId="7412CC5E" w14:textId="703AF4A0" w:rsidR="007C6253" w:rsidRDefault="007C6253" w:rsidP="007C6253">
      <w:pPr>
        <w:pStyle w:val="CoPNumberlevel2"/>
        <w:ind w:left="1560"/>
      </w:pPr>
      <w:r>
        <w:t>A</w:t>
      </w:r>
      <w:r w:rsidRPr="005E095A">
        <w:t xml:space="preserve">ppoint </w:t>
      </w:r>
      <w:r>
        <w:t xml:space="preserve">appropriately qualified </w:t>
      </w:r>
      <w:r w:rsidRPr="005E095A">
        <w:t>staff responsible for implementing</w:t>
      </w:r>
      <w:r>
        <w:t xml:space="preserve"> student </w:t>
      </w:r>
      <w:r w:rsidRPr="005E095A">
        <w:t>support</w:t>
      </w:r>
      <w:r w:rsidR="00765F9A">
        <w:t xml:space="preserve"> and welfare processes</w:t>
      </w:r>
    </w:p>
    <w:p w14:paraId="1037161B" w14:textId="77777777" w:rsidR="007C6253" w:rsidRPr="005E095A" w:rsidRDefault="007C6253" w:rsidP="007C6253">
      <w:pPr>
        <w:pStyle w:val="CoPNumberlevel2"/>
        <w:ind w:left="1560"/>
      </w:pPr>
      <w:r>
        <w:t>Implement an institutional framework that aims to e</w:t>
      </w:r>
      <w:r w:rsidRPr="005E095A">
        <w:t>nsur</w:t>
      </w:r>
      <w:r>
        <w:t xml:space="preserve">e </w:t>
      </w:r>
      <w:r w:rsidRPr="005E095A">
        <w:t xml:space="preserve">that </w:t>
      </w:r>
      <w:r>
        <w:t xml:space="preserve">student support </w:t>
      </w:r>
      <w:r w:rsidRPr="005E095A">
        <w:t xml:space="preserve">processes are </w:t>
      </w:r>
      <w:r>
        <w:t>consistently and fairly applied</w:t>
      </w:r>
    </w:p>
    <w:p w14:paraId="2C57C946" w14:textId="6BF05395" w:rsidR="007C6253" w:rsidRPr="005E095A" w:rsidRDefault="007C6253" w:rsidP="007C6253">
      <w:pPr>
        <w:pStyle w:val="CoPNumberlevel1"/>
      </w:pPr>
      <w:r w:rsidRPr="005E095A">
        <w:t xml:space="preserve">The Student Experience Officer </w:t>
      </w:r>
      <w:r w:rsidR="00C61AA2">
        <w:t>will</w:t>
      </w:r>
      <w:r w:rsidR="00341266">
        <w:t>:</w:t>
      </w:r>
    </w:p>
    <w:p w14:paraId="3ED15680" w14:textId="7B61452D" w:rsidR="007C6253" w:rsidRDefault="007C6253" w:rsidP="007C6253">
      <w:pPr>
        <w:pStyle w:val="CoPNumberlevel2"/>
        <w:ind w:left="1560"/>
      </w:pPr>
      <w:r>
        <w:t>Ensur</w:t>
      </w:r>
      <w:r w:rsidR="00C61AA2">
        <w:t>e</w:t>
      </w:r>
      <w:r>
        <w:t xml:space="preserve"> that all published information clearly outlines the support services available to LSTM students and accurately reflects the level of support available</w:t>
      </w:r>
    </w:p>
    <w:p w14:paraId="7FF03EB1" w14:textId="77777777" w:rsidR="007C6253" w:rsidRPr="0016412A" w:rsidRDefault="007C6253" w:rsidP="007C6253">
      <w:pPr>
        <w:pStyle w:val="CoPNumberlevel2"/>
        <w:ind w:left="1560"/>
      </w:pPr>
      <w:r w:rsidRPr="005E095A">
        <w:t>Provid</w:t>
      </w:r>
      <w:r>
        <w:t>e</w:t>
      </w:r>
      <w:r w:rsidRPr="005E095A">
        <w:t xml:space="preserve"> a</w:t>
      </w:r>
      <w:r w:rsidRPr="0016412A">
        <w:t xml:space="preserve">dvice and assistance on </w:t>
      </w:r>
      <w:r>
        <w:t>student</w:t>
      </w:r>
      <w:r w:rsidRPr="0016412A">
        <w:t xml:space="preserve"> support to all st</w:t>
      </w:r>
      <w:r>
        <w:t>udents before and after arrival</w:t>
      </w:r>
    </w:p>
    <w:p w14:paraId="3EA21678" w14:textId="5DA7D88A" w:rsidR="007C6253" w:rsidRPr="0016412A" w:rsidRDefault="007C6253" w:rsidP="007C6253">
      <w:pPr>
        <w:pStyle w:val="CoPNumberlevel2"/>
        <w:ind w:left="1560"/>
      </w:pPr>
      <w:r w:rsidRPr="0016412A">
        <w:t xml:space="preserve">Meet with individual students to discuss specific </w:t>
      </w:r>
      <w:r>
        <w:t xml:space="preserve">support </w:t>
      </w:r>
      <w:r w:rsidRPr="0016412A">
        <w:t>needs as required</w:t>
      </w:r>
    </w:p>
    <w:p w14:paraId="6B44D155" w14:textId="0F091E56" w:rsidR="007C6253" w:rsidRDefault="00C61AA2" w:rsidP="007C6253">
      <w:pPr>
        <w:pStyle w:val="CoPNumberlevel2"/>
        <w:ind w:left="1560"/>
      </w:pPr>
      <w:r>
        <w:t xml:space="preserve">Arrange </w:t>
      </w:r>
      <w:r w:rsidR="007C6253">
        <w:t>needs assessments and l</w:t>
      </w:r>
      <w:r w:rsidR="007C6253" w:rsidRPr="0016412A">
        <w:t>iais</w:t>
      </w:r>
      <w:r>
        <w:t>e</w:t>
      </w:r>
      <w:r w:rsidR="007C6253" w:rsidRPr="0016412A">
        <w:t xml:space="preserve"> wit</w:t>
      </w:r>
      <w:r w:rsidR="007C6253">
        <w:t xml:space="preserve">h module convenors, laboratory teaching staff </w:t>
      </w:r>
      <w:r w:rsidR="007C6253" w:rsidRPr="005E095A">
        <w:t xml:space="preserve">and </w:t>
      </w:r>
      <w:r w:rsidR="007C6253">
        <w:t>p</w:t>
      </w:r>
      <w:r w:rsidR="007C6253" w:rsidRPr="005E095A">
        <w:t xml:space="preserve">rogramme </w:t>
      </w:r>
      <w:r w:rsidR="007C6253">
        <w:t>a</w:t>
      </w:r>
      <w:r w:rsidR="007C6253" w:rsidRPr="005E095A">
        <w:t xml:space="preserve">dministrators </w:t>
      </w:r>
      <w:r w:rsidR="007C6253">
        <w:t xml:space="preserve">as required </w:t>
      </w:r>
      <w:r w:rsidR="007C6253" w:rsidRPr="005E095A">
        <w:t xml:space="preserve">to implement the support identified </w:t>
      </w:r>
      <w:r w:rsidR="007C6253">
        <w:t xml:space="preserve">in a </w:t>
      </w:r>
      <w:r w:rsidR="007C6253" w:rsidRPr="005E095A">
        <w:t>student’s Individual Learning Plan</w:t>
      </w:r>
    </w:p>
    <w:p w14:paraId="4A1F9E9E" w14:textId="443FD7BE" w:rsidR="007C6253" w:rsidRPr="00821F67" w:rsidRDefault="007C6253" w:rsidP="007C6253">
      <w:pPr>
        <w:pStyle w:val="CoPNumberlevel2"/>
        <w:ind w:left="1560"/>
      </w:pPr>
      <w:r>
        <w:t>Provid</w:t>
      </w:r>
      <w:r w:rsidR="00C61AA2">
        <w:t>e</w:t>
      </w:r>
      <w:r w:rsidR="00384E40">
        <w:t xml:space="preserve"> </w:t>
      </w:r>
      <w:r>
        <w:t xml:space="preserve">staff involved in teaching students with information that explains their responsibilities with respect to the support of students  </w:t>
      </w:r>
    </w:p>
    <w:p w14:paraId="3A14ED3D" w14:textId="29A7C04C" w:rsidR="007C6253" w:rsidRDefault="007C6253" w:rsidP="007C6253">
      <w:pPr>
        <w:pStyle w:val="CoPNumberlevel2"/>
        <w:ind w:left="1560"/>
      </w:pPr>
      <w:r>
        <w:t>Organis</w:t>
      </w:r>
      <w:r w:rsidR="00C61AA2">
        <w:t>e</w:t>
      </w:r>
      <w:r>
        <w:t xml:space="preserve"> the personal tutor system for MSc students, allocating tutors, monitoring return of reports and providing referral advice for tutors as required</w:t>
      </w:r>
    </w:p>
    <w:p w14:paraId="4FDE0ED5" w14:textId="0E50917D" w:rsidR="007C6253" w:rsidRDefault="007C6253" w:rsidP="007C6253">
      <w:pPr>
        <w:pStyle w:val="CoPNumberlevel2"/>
        <w:ind w:left="1560"/>
      </w:pPr>
      <w:r>
        <w:t xml:space="preserve">Refer students to external mental health support services. </w:t>
      </w:r>
    </w:p>
    <w:p w14:paraId="43EA1152" w14:textId="1A36480C" w:rsidR="00991BC5" w:rsidRPr="008B17F4" w:rsidRDefault="00991BC5" w:rsidP="007C6253">
      <w:pPr>
        <w:pStyle w:val="CoPNumberlevel2"/>
        <w:ind w:left="1560"/>
      </w:pPr>
      <w:r>
        <w:t>Take responsibility for reporting any P</w:t>
      </w:r>
      <w:r w:rsidR="00AF039C">
        <w:t>revent</w:t>
      </w:r>
      <w:r>
        <w:t>-related student concerns to the LSTM P</w:t>
      </w:r>
      <w:r w:rsidR="00AF039C">
        <w:t>revent</w:t>
      </w:r>
      <w:r>
        <w:t xml:space="preserve"> Lead. </w:t>
      </w:r>
    </w:p>
    <w:p w14:paraId="14EBDAC5" w14:textId="77777777" w:rsidR="007C6253" w:rsidRPr="005E095A" w:rsidRDefault="007C6253" w:rsidP="007C6253">
      <w:pPr>
        <w:pStyle w:val="CoPNumberlevel1"/>
      </w:pPr>
      <w:r w:rsidRPr="001A53FA">
        <w:t>Programme Administrators</w:t>
      </w:r>
      <w:r w:rsidRPr="006238E2">
        <w:rPr>
          <w:b/>
        </w:rPr>
        <w:t xml:space="preserve"> </w:t>
      </w:r>
      <w:r>
        <w:t>will r</w:t>
      </w:r>
      <w:r w:rsidRPr="005E095A">
        <w:t xml:space="preserve">efer applicants and students with enquiries relating to </w:t>
      </w:r>
      <w:r>
        <w:t>student</w:t>
      </w:r>
      <w:r w:rsidRPr="005E095A">
        <w:t xml:space="preserve"> support to </w:t>
      </w:r>
      <w:r>
        <w:t>the Student Experience Officer.</w:t>
      </w:r>
    </w:p>
    <w:p w14:paraId="373485CB" w14:textId="77777777" w:rsidR="007C6253" w:rsidRPr="005D18DB" w:rsidRDefault="007C6253" w:rsidP="007C6253">
      <w:pPr>
        <w:pStyle w:val="CoPNumberlevel1"/>
      </w:pPr>
      <w:r w:rsidRPr="005D18DB">
        <w:t xml:space="preserve">Directors of Studies </w:t>
      </w:r>
      <w:r>
        <w:t>will</w:t>
      </w:r>
      <w:r w:rsidRPr="005D18DB">
        <w:t>:</w:t>
      </w:r>
    </w:p>
    <w:p w14:paraId="74FD887F" w14:textId="77777777" w:rsidR="007C6253" w:rsidRPr="005E095A" w:rsidRDefault="007C6253" w:rsidP="007C6253">
      <w:pPr>
        <w:pStyle w:val="CoPNumberlevel2"/>
        <w:ind w:left="1560"/>
      </w:pPr>
      <w:r w:rsidRPr="005E095A">
        <w:lastRenderedPageBreak/>
        <w:t xml:space="preserve">Review </w:t>
      </w:r>
      <w:r>
        <w:t>Individual Learning P</w:t>
      </w:r>
      <w:r w:rsidRPr="005E095A">
        <w:t xml:space="preserve">lans for students with disabilities, and </w:t>
      </w:r>
      <w:r>
        <w:t xml:space="preserve">ensure compliance with </w:t>
      </w:r>
      <w:r w:rsidRPr="005E095A">
        <w:t xml:space="preserve">support </w:t>
      </w:r>
      <w:r>
        <w:t xml:space="preserve">requirements </w:t>
      </w:r>
      <w:r w:rsidRPr="005E095A">
        <w:t>as advised by the Student Experience</w:t>
      </w:r>
      <w:r>
        <w:t xml:space="preserve"> Officer</w:t>
      </w:r>
    </w:p>
    <w:p w14:paraId="41F9BB0C" w14:textId="77777777" w:rsidR="00991BC5" w:rsidRDefault="007C6253" w:rsidP="00341266">
      <w:pPr>
        <w:pStyle w:val="CoPNumberlevel2"/>
        <w:ind w:left="1560"/>
      </w:pPr>
      <w:r>
        <w:t>Share</w:t>
      </w:r>
      <w:r w:rsidRPr="005E095A">
        <w:t xml:space="preserve"> disability information with teaching staff </w:t>
      </w:r>
      <w:r>
        <w:t>as appropriate</w:t>
      </w:r>
      <w:r w:rsidR="00991BC5">
        <w:t xml:space="preserve">. </w:t>
      </w:r>
    </w:p>
    <w:p w14:paraId="3550C35A" w14:textId="5C40EE10" w:rsidR="007C6253" w:rsidRPr="005E095A" w:rsidRDefault="007C6253" w:rsidP="007C6253">
      <w:pPr>
        <w:pStyle w:val="CoPNumberlevel1"/>
      </w:pPr>
      <w:r>
        <w:t>All s</w:t>
      </w:r>
      <w:r w:rsidRPr="005E095A">
        <w:t xml:space="preserve">taff </w:t>
      </w:r>
      <w:r>
        <w:t>involved in teaching will i</w:t>
      </w:r>
      <w:r w:rsidRPr="005E095A">
        <w:t>mplement support as advised on a student’s Individual Learning Pla</w:t>
      </w:r>
      <w:r>
        <w:t>n</w:t>
      </w:r>
    </w:p>
    <w:p w14:paraId="37AE18AB" w14:textId="4DD5FC08" w:rsidR="00991BC5" w:rsidRPr="005D18DB" w:rsidRDefault="00BB1A45" w:rsidP="00991BC5">
      <w:pPr>
        <w:pStyle w:val="CoPborderheading"/>
      </w:pPr>
      <w:r>
        <w:t>Health &amp; Wellbeing</w:t>
      </w:r>
    </w:p>
    <w:p w14:paraId="322A03F1" w14:textId="1C27AD31" w:rsidR="007C6253" w:rsidRPr="005E095A" w:rsidRDefault="00BB1A45" w:rsidP="007C6253">
      <w:pPr>
        <w:pStyle w:val="CoPNumberlevel1"/>
      </w:pPr>
      <w:bookmarkStart w:id="6" w:name="_Toc342395976"/>
      <w:r>
        <w:t>LSTM students on courses lasting six months or more must register with a local GP practice in order to obtain health advice from the NHS in the usual way.  The Student Experience Officer is responsible for providing information to students regarding the process of registering with a GP.</w:t>
      </w:r>
      <w:bookmarkEnd w:id="6"/>
    </w:p>
    <w:p w14:paraId="10E60E78" w14:textId="607053BF" w:rsidR="007C6253" w:rsidRDefault="0013713C" w:rsidP="007C6253">
      <w:pPr>
        <w:pStyle w:val="CoPNumberlevel1"/>
        <w:rPr>
          <w:lang w:eastAsia="en-US"/>
        </w:rPr>
      </w:pPr>
      <w:r>
        <w:rPr>
          <w:lang w:eastAsia="en-US"/>
        </w:rPr>
        <w:t>For those students studying on a course of less than six months’ duration, information on local NHS Walk-in and other emergency services will be provided by the Student Experience Officer.</w:t>
      </w:r>
    </w:p>
    <w:p w14:paraId="64C5C3DE" w14:textId="728086C8" w:rsidR="007C6253" w:rsidRDefault="0013713C" w:rsidP="007C6253">
      <w:pPr>
        <w:pStyle w:val="CoPNumberlevel1"/>
      </w:pPr>
      <w:r>
        <w:t>If a student expresses the need for talking therapies to the Student Experience Officer, they will be encouraged to book an appointment with their GP to discuss their problems and have their name added to the NHS psychotherapy waiting list.  For the period during which the student is waiting to access NHS support, the Student Experience Officer can arrange a short course of counselling sessions.</w:t>
      </w:r>
    </w:p>
    <w:p w14:paraId="11F81749" w14:textId="22C58D29" w:rsidR="007C6253" w:rsidRDefault="00AC68F9" w:rsidP="007C6253">
      <w:pPr>
        <w:pStyle w:val="CoPNumberlevel1"/>
      </w:pPr>
      <w:r>
        <w:t xml:space="preserve">If a member of staff is concerned that a student is a risk to themselves or others, they should refer to the </w:t>
      </w:r>
      <w:r>
        <w:rPr>
          <w:i/>
        </w:rPr>
        <w:t>Emergency Mental Health Procedure.</w:t>
      </w:r>
    </w:p>
    <w:p w14:paraId="75A1F3C1" w14:textId="4C5635F7" w:rsidR="007C6253" w:rsidRPr="005E095A" w:rsidRDefault="00AC68F9" w:rsidP="007C6253">
      <w:pPr>
        <w:pStyle w:val="CoPNumberlevel1"/>
      </w:pPr>
      <w:r>
        <w:t>The Student Experience Officer will maintain an online Health &amp; Wellbeing resource within the Student Intranet.</w:t>
      </w:r>
    </w:p>
    <w:p w14:paraId="611121B5" w14:textId="4874154E" w:rsidR="007C6253" w:rsidRPr="00AC68F9" w:rsidRDefault="00BB1A45" w:rsidP="00B2017F">
      <w:pPr>
        <w:pStyle w:val="CoPborderheading"/>
      </w:pPr>
      <w:r w:rsidRPr="00AC68F9">
        <w:t>Disclosure of Disabilities</w:t>
      </w:r>
    </w:p>
    <w:p w14:paraId="6946FA7D" w14:textId="0653CFAE" w:rsidR="00B2017F" w:rsidRDefault="00BB1A45" w:rsidP="00B2017F">
      <w:pPr>
        <w:pStyle w:val="CoPNumberlevel1"/>
      </w:pPr>
      <w:r>
        <w:t xml:space="preserve">In line with the </w:t>
      </w:r>
      <w:r>
        <w:rPr>
          <w:i/>
        </w:rPr>
        <w:t xml:space="preserve">Code of Practice on Admissions, </w:t>
      </w:r>
      <w:r>
        <w:t xml:space="preserve">prospective students will be given the opportunity to disclose specific needs through the application process in order that support may start at an early stage.  Students should be aware that disclosure of a disability or health issue will be used for positive purposes such as to improve service and facilities within </w:t>
      </w:r>
      <w:r w:rsidR="00B2017F">
        <w:t xml:space="preserve">LSTM </w:t>
      </w:r>
      <w:r>
        <w:t>and will not disadvantage the candidate’s application.</w:t>
      </w:r>
      <w:r w:rsidR="0041319B">
        <w:t xml:space="preserve"> </w:t>
      </w:r>
    </w:p>
    <w:p w14:paraId="6304702A" w14:textId="40AA08D9" w:rsidR="0041319B" w:rsidRDefault="0013713C" w:rsidP="00B2017F">
      <w:pPr>
        <w:pStyle w:val="CoPNumberlevel1"/>
      </w:pPr>
      <w:r>
        <w:t xml:space="preserve">To aid in disclosure at the application/pre-arrival stage, LSTM will ensure that all published and web-based material accurately reflects the level of support </w:t>
      </w:r>
      <w:r>
        <w:lastRenderedPageBreak/>
        <w:t>available and clearly outlines support services available to LSTM students with disabilities</w:t>
      </w:r>
      <w:r w:rsidR="0041319B">
        <w:t xml:space="preserve">.   </w:t>
      </w:r>
    </w:p>
    <w:p w14:paraId="3C4FE488" w14:textId="05F88727" w:rsidR="0041319B" w:rsidRDefault="00AC68F9" w:rsidP="00B2017F">
      <w:pPr>
        <w:pStyle w:val="CoPNumberlevel1"/>
      </w:pPr>
      <w:r>
        <w:t>A student who did not disclose a disability at application stage may choose to do so at any time during their studies to any member of staff.</w:t>
      </w:r>
    </w:p>
    <w:p w14:paraId="0A009979" w14:textId="3C16F3E4" w:rsidR="00BF4DF2" w:rsidRDefault="00AC68F9" w:rsidP="00991BC5">
      <w:pPr>
        <w:pStyle w:val="CoPNumberlevel1"/>
      </w:pPr>
      <w:r>
        <w:t>Disclosed information will be shared only with the consent of the student and for the purpose of providing care, support or protection.</w:t>
      </w:r>
    </w:p>
    <w:p w14:paraId="582687FA" w14:textId="4E404F4A" w:rsidR="00B2017F" w:rsidRPr="00341266" w:rsidRDefault="00AC68F9" w:rsidP="00341266">
      <w:pPr>
        <w:pStyle w:val="CoPNumberlevel1"/>
      </w:pPr>
      <w:r>
        <w:t>All staff must respect the confidentiality of protected personal information about students</w:t>
      </w:r>
      <w:r w:rsidR="00246A67" w:rsidRPr="00341266">
        <w:t xml:space="preserve">. </w:t>
      </w:r>
      <w:r>
        <w:t>Confidentiality may be breached only in cases where it can be justified in the public interest or duty of care owed to other students and staff.</w:t>
      </w:r>
    </w:p>
    <w:p w14:paraId="593B76DB" w14:textId="77777777" w:rsidR="00B2017F" w:rsidRDefault="00246A67" w:rsidP="00246A67">
      <w:pPr>
        <w:pStyle w:val="CoPborderheading"/>
      </w:pPr>
      <w:r>
        <w:t>Disability Support</w:t>
      </w:r>
    </w:p>
    <w:p w14:paraId="594BA51F" w14:textId="77777777" w:rsidR="00246A67" w:rsidRDefault="00246A67" w:rsidP="00246A67">
      <w:pPr>
        <w:pStyle w:val="Style1"/>
        <w:numPr>
          <w:ilvl w:val="0"/>
          <w:numId w:val="0"/>
        </w:numPr>
        <w:ind w:left="720"/>
      </w:pPr>
    </w:p>
    <w:p w14:paraId="460A6FE0" w14:textId="77777777" w:rsidR="007C6253" w:rsidRPr="005E095A" w:rsidRDefault="007C6253" w:rsidP="00246A67">
      <w:pPr>
        <w:pStyle w:val="CoPNumberlevel1"/>
      </w:pPr>
      <w:r w:rsidRPr="005E095A">
        <w:t>Disabled students who require reasonable adjustments to minimise the disadvant</w:t>
      </w:r>
      <w:r>
        <w:t xml:space="preserve">age caused by their disability </w:t>
      </w:r>
      <w:r w:rsidRPr="005E095A">
        <w:t xml:space="preserve">must provide appropriate documentation </w:t>
      </w:r>
      <w:r>
        <w:t xml:space="preserve">that </w:t>
      </w:r>
      <w:r w:rsidRPr="005E095A">
        <w:t>verifies t</w:t>
      </w:r>
      <w:r>
        <w:t xml:space="preserve">he existence of the disability </w:t>
      </w:r>
      <w:r w:rsidRPr="005E095A">
        <w:t xml:space="preserve">before reasonable adjustments can be recommended. </w:t>
      </w:r>
      <w:r>
        <w:t xml:space="preserve"> Further information on suitable documentation can be found in the </w:t>
      </w:r>
      <w:r w:rsidRPr="00246A67">
        <w:rPr>
          <w:i/>
        </w:rPr>
        <w:t>Guidelines on supporting documentation for learner support claims.</w:t>
      </w:r>
    </w:p>
    <w:p w14:paraId="1972C782" w14:textId="77777777" w:rsidR="007C6253" w:rsidRDefault="007C6253" w:rsidP="00C426DC">
      <w:pPr>
        <w:pStyle w:val="CoPNumberlevel1"/>
      </w:pPr>
      <w:r w:rsidRPr="005E095A">
        <w:t>In accordance with Data Protection</w:t>
      </w:r>
      <w:r>
        <w:t xml:space="preserve"> legislation, LSTM cannot contact or</w:t>
      </w:r>
      <w:r w:rsidRPr="005E095A">
        <w:t xml:space="preserve"> request documentation from any external third party (e.g. a GP) on a student’s behalf. This responsibility lies with the student, as does any cost involved in the production of such documentation.</w:t>
      </w:r>
    </w:p>
    <w:p w14:paraId="635C859D" w14:textId="77777777" w:rsidR="007C6253" w:rsidRPr="005D1EA5" w:rsidRDefault="007C6253" w:rsidP="00C426DC">
      <w:pPr>
        <w:pStyle w:val="CoPNumberlevel1"/>
      </w:pPr>
      <w:r>
        <w:t>LSTM reserves the right to terminate the registration of a student who is deemed to have gained an unfair advantage by obtaining learner support on the basis of supplying fraudulent information.</w:t>
      </w:r>
    </w:p>
    <w:p w14:paraId="6F7ECB7F" w14:textId="7B759720" w:rsidR="007C6253" w:rsidRDefault="007C6253" w:rsidP="00C426DC">
      <w:pPr>
        <w:pStyle w:val="CoPNumberlevel1"/>
      </w:pPr>
      <w:r>
        <w:t>A s</w:t>
      </w:r>
      <w:r w:rsidRPr="005E095A">
        <w:t>tudent</w:t>
      </w:r>
      <w:r>
        <w:t xml:space="preserve"> who indicates that support is required and supplies appropriate evidence will be referred to a Needs Assessor.</w:t>
      </w:r>
      <w:r w:rsidRPr="005E095A">
        <w:t xml:space="preserve"> </w:t>
      </w:r>
      <w:r>
        <w:t>If the student is eligible for Di</w:t>
      </w:r>
      <w:r w:rsidR="00492DF7">
        <w:t>sabled Students Allowance</w:t>
      </w:r>
      <w:r w:rsidR="00C426DC">
        <w:t>, the needs assessment</w:t>
      </w:r>
      <w:r>
        <w:t xml:space="preserve"> will be arranged by the relevant funding authority. </w:t>
      </w:r>
      <w:r w:rsidRPr="005E095A">
        <w:t>The student will discuss the effects of his or her disability or specific learning difficulty</w:t>
      </w:r>
      <w:r>
        <w:t xml:space="preserve"> with the </w:t>
      </w:r>
      <w:r w:rsidRPr="005E095A">
        <w:t xml:space="preserve">Needs Assessor, who will </w:t>
      </w:r>
      <w:r>
        <w:t xml:space="preserve">provide a report </w:t>
      </w:r>
      <w:r w:rsidRPr="005E095A">
        <w:t>suggest</w:t>
      </w:r>
      <w:r>
        <w:t>ing</w:t>
      </w:r>
      <w:r w:rsidRPr="005E095A">
        <w:t xml:space="preserve"> strategies to help overcome the imp</w:t>
      </w:r>
      <w:r>
        <w:t>act of the disability on study.</w:t>
      </w:r>
    </w:p>
    <w:p w14:paraId="6E51C3D1" w14:textId="77777777" w:rsidR="007C6253" w:rsidRPr="005E095A" w:rsidRDefault="007C6253" w:rsidP="00C426DC">
      <w:pPr>
        <w:pStyle w:val="CoPNumberlevel1"/>
      </w:pPr>
      <w:r>
        <w:t xml:space="preserve">Reports will be shared with the student and the </w:t>
      </w:r>
      <w:r w:rsidRPr="005E095A">
        <w:t xml:space="preserve">Student Experience Officer </w:t>
      </w:r>
      <w:r>
        <w:t>and with other staff as appropriate and with the consent of the student.</w:t>
      </w:r>
    </w:p>
    <w:p w14:paraId="51D20C5B" w14:textId="77777777" w:rsidR="007C6253" w:rsidRPr="005E095A" w:rsidRDefault="007C6253" w:rsidP="00C426DC">
      <w:pPr>
        <w:pStyle w:val="CoPNumberlevel1"/>
      </w:pPr>
      <w:r>
        <w:t>A</w:t>
      </w:r>
      <w:r w:rsidRPr="005E095A">
        <w:t xml:space="preserve"> student</w:t>
      </w:r>
      <w:r>
        <w:t xml:space="preserve"> who </w:t>
      </w:r>
      <w:r w:rsidRPr="005E095A">
        <w:t>require</w:t>
      </w:r>
      <w:r>
        <w:t>s</w:t>
      </w:r>
      <w:r w:rsidRPr="005E095A">
        <w:t xml:space="preserve"> a formal assessment of a Specific Learning Difficulty, whether </w:t>
      </w:r>
      <w:r>
        <w:t>a</w:t>
      </w:r>
      <w:r w:rsidRPr="005E095A">
        <w:t xml:space="preserve"> first assessment or an update of an earlier one, will be referred to an educational psychologist</w:t>
      </w:r>
      <w:r>
        <w:t xml:space="preserve"> who will discuss </w:t>
      </w:r>
      <w:r w:rsidRPr="005E095A">
        <w:t xml:space="preserve">the results with the student </w:t>
      </w:r>
      <w:r>
        <w:t xml:space="preserve">and </w:t>
      </w:r>
      <w:r w:rsidRPr="005E095A">
        <w:t xml:space="preserve">send </w:t>
      </w:r>
      <w:r>
        <w:lastRenderedPageBreak/>
        <w:t>a</w:t>
      </w:r>
      <w:r w:rsidRPr="005E095A">
        <w:t xml:space="preserve"> </w:t>
      </w:r>
      <w:r>
        <w:t xml:space="preserve">confidential </w:t>
      </w:r>
      <w:r w:rsidRPr="005E095A">
        <w:t xml:space="preserve">report to LSTM. </w:t>
      </w:r>
      <w:r>
        <w:t xml:space="preserve"> </w:t>
      </w:r>
      <w:r w:rsidRPr="005E095A">
        <w:t xml:space="preserve">The student will have an opportunity to discuss the report </w:t>
      </w:r>
      <w:r>
        <w:t xml:space="preserve">with </w:t>
      </w:r>
      <w:r w:rsidRPr="005E095A">
        <w:t>the Student Experience Office</w:t>
      </w:r>
      <w:r>
        <w:t>r.</w:t>
      </w:r>
    </w:p>
    <w:p w14:paraId="0230DA66" w14:textId="77777777" w:rsidR="007C6253" w:rsidRPr="005613B5" w:rsidRDefault="007C6253" w:rsidP="00C426DC">
      <w:pPr>
        <w:pStyle w:val="CoPNumberlevel1"/>
      </w:pPr>
      <w:r>
        <w:t xml:space="preserve">In line with the </w:t>
      </w:r>
      <w:r w:rsidRPr="00AF039C">
        <w:rPr>
          <w:i/>
        </w:rPr>
        <w:t>Code of Practice on Assessment and Feedback</w:t>
      </w:r>
      <w:r w:rsidRPr="00C93D9C">
        <w:t>,</w:t>
      </w:r>
      <w:r w:rsidRPr="00C426DC">
        <w:t xml:space="preserve"> </w:t>
      </w:r>
      <w:r>
        <w:t xml:space="preserve">LSTM will make reasonable adjustments for students with disabilities with respect to examinations and other assessments.   </w:t>
      </w:r>
      <w:r w:rsidRPr="00C426DC">
        <w:t xml:space="preserve"> </w:t>
      </w:r>
    </w:p>
    <w:p w14:paraId="27373EA4" w14:textId="77777777" w:rsidR="007C6253" w:rsidRPr="005E095A" w:rsidRDefault="007C6253" w:rsidP="00C426DC">
      <w:pPr>
        <w:pStyle w:val="CoPNumberlevel1"/>
      </w:pPr>
      <w:r w:rsidRPr="004A1FB3">
        <w:t>Information</w:t>
      </w:r>
      <w:r w:rsidRPr="00C426DC">
        <w:t xml:space="preserve"> on reasonable adjustments for examinations is detailed in </w:t>
      </w:r>
      <w:r>
        <w:t xml:space="preserve">the </w:t>
      </w:r>
      <w:r w:rsidRPr="00C426DC">
        <w:rPr>
          <w:i/>
        </w:rPr>
        <w:t>Procedure for Examination Arrangements for Students with Additional Support Needs.</w:t>
      </w:r>
      <w:r>
        <w:t xml:space="preserve">  A s</w:t>
      </w:r>
      <w:r w:rsidRPr="005E095A">
        <w:t>tudent</w:t>
      </w:r>
      <w:r>
        <w:t xml:space="preserve"> who</w:t>
      </w:r>
      <w:r w:rsidRPr="005E095A">
        <w:t xml:space="preserve"> require</w:t>
      </w:r>
      <w:r>
        <w:t>s</w:t>
      </w:r>
      <w:r w:rsidRPr="005E095A">
        <w:t xml:space="preserve"> reasonable adjustments to be implemented during examinations</w:t>
      </w:r>
      <w:r>
        <w:t xml:space="preserve"> will be informed of the arrangements</w:t>
      </w:r>
      <w:r w:rsidRPr="005E095A">
        <w:t xml:space="preserve"> at least one week befo</w:t>
      </w:r>
      <w:r>
        <w:t>re the date of the examination.</w:t>
      </w:r>
    </w:p>
    <w:p w14:paraId="0D6AED47" w14:textId="77777777" w:rsidR="007C6253" w:rsidRPr="005E095A" w:rsidRDefault="007C6253" w:rsidP="00C426DC">
      <w:pPr>
        <w:pStyle w:val="CoPNumberlevel1"/>
      </w:pPr>
      <w:r w:rsidRPr="005E095A">
        <w:t xml:space="preserve">Reasonable adjustments for sympathetic marking are </w:t>
      </w:r>
      <w:r>
        <w:t xml:space="preserve">detailed in the </w:t>
      </w:r>
      <w:r w:rsidRPr="00C426DC">
        <w:rPr>
          <w:i/>
        </w:rPr>
        <w:t>Guidelines for Marking and Feedback for Students with Specific Learning Difficulties.</w:t>
      </w:r>
    </w:p>
    <w:p w14:paraId="5A1D8326" w14:textId="77777777" w:rsidR="007C6253" w:rsidRPr="005E095A" w:rsidRDefault="007C6253" w:rsidP="00C426DC">
      <w:pPr>
        <w:pStyle w:val="CoPNumberlevel1"/>
      </w:pPr>
      <w:r w:rsidRPr="005E095A">
        <w:t xml:space="preserve">Students should contact the Student Experience Officer to discuss funding </w:t>
      </w:r>
      <w:r>
        <w:t xml:space="preserve">options for disability support. </w:t>
      </w:r>
    </w:p>
    <w:p w14:paraId="393D3826" w14:textId="77777777" w:rsidR="007C6253" w:rsidRPr="005E095A" w:rsidRDefault="007C6253" w:rsidP="00C426DC">
      <w:pPr>
        <w:pStyle w:val="CoPNumberlevel1"/>
      </w:pPr>
      <w:r w:rsidRPr="005E095A">
        <w:t xml:space="preserve">International students should initially contact their home government for information about accessing appropriate funding. </w:t>
      </w:r>
      <w:r>
        <w:t xml:space="preserve"> </w:t>
      </w:r>
      <w:r w:rsidRPr="005E095A">
        <w:t xml:space="preserve">Sponsors may also be able to provide </w:t>
      </w:r>
      <w:r>
        <w:t xml:space="preserve">a student with </w:t>
      </w:r>
      <w:r w:rsidRPr="005E095A">
        <w:t xml:space="preserve">an additional grant to cover any extra expenses </w:t>
      </w:r>
      <w:r>
        <w:t>that may arise because of a disability.</w:t>
      </w:r>
    </w:p>
    <w:p w14:paraId="7C9FE07E" w14:textId="77777777" w:rsidR="007C6253" w:rsidRPr="005E095A" w:rsidRDefault="007C6253" w:rsidP="00C426DC">
      <w:pPr>
        <w:pStyle w:val="CoPNumberlevel1"/>
      </w:pPr>
      <w:r w:rsidRPr="005E095A">
        <w:t xml:space="preserve">LSTM will work with </w:t>
      </w:r>
      <w:r>
        <w:t>students who are not eligible for any external funding</w:t>
      </w:r>
      <w:r w:rsidRPr="005E095A">
        <w:t xml:space="preserve"> to ensure support needs are met and reasonab</w:t>
      </w:r>
      <w:r>
        <w:t>le adjustments are implemented.</w:t>
      </w:r>
    </w:p>
    <w:p w14:paraId="1C74480C" w14:textId="77777777" w:rsidR="007C6253" w:rsidRDefault="007C6253" w:rsidP="00C426DC">
      <w:pPr>
        <w:pStyle w:val="CoPNumberlevel1"/>
      </w:pPr>
      <w:r>
        <w:t>A</w:t>
      </w:r>
      <w:r w:rsidRPr="005E095A">
        <w:t xml:space="preserve">ny equipment purchased </w:t>
      </w:r>
      <w:r>
        <w:t xml:space="preserve">by LSTM </w:t>
      </w:r>
      <w:r w:rsidRPr="005E095A">
        <w:t xml:space="preserve">to support students </w:t>
      </w:r>
      <w:r>
        <w:t xml:space="preserve">with a disability </w:t>
      </w:r>
      <w:r w:rsidRPr="005E095A">
        <w:t>will remain the property of LSTM. The equipment will be loaned to the student for the period of study</w:t>
      </w:r>
      <w:r>
        <w:t xml:space="preserve"> and must be returned at the end of the programme</w:t>
      </w:r>
      <w:r w:rsidRPr="005E095A">
        <w:t xml:space="preserve">. </w:t>
      </w:r>
      <w:r>
        <w:t xml:space="preserve"> S</w:t>
      </w:r>
      <w:r w:rsidRPr="005E095A">
        <w:t xml:space="preserve">tudents </w:t>
      </w:r>
      <w:r>
        <w:t xml:space="preserve">will be </w:t>
      </w:r>
      <w:r w:rsidRPr="005E095A">
        <w:t xml:space="preserve">required </w:t>
      </w:r>
      <w:r>
        <w:t>to cover the repair or replacement costs i</w:t>
      </w:r>
      <w:r w:rsidRPr="005E095A">
        <w:t>f equipment is damaged or lost</w:t>
      </w:r>
      <w:r>
        <w:t>.</w:t>
      </w:r>
    </w:p>
    <w:p w14:paraId="019F6D50" w14:textId="0BE71626" w:rsidR="00CD0B82" w:rsidRPr="00CD0B82" w:rsidRDefault="00D65459" w:rsidP="00497C10">
      <w:pPr>
        <w:pStyle w:val="CoPborderheading"/>
      </w:pPr>
      <w:r>
        <w:t>Personal Tutor System</w:t>
      </w:r>
      <w:r w:rsidR="00CD0B82">
        <w:t xml:space="preserve">       </w:t>
      </w:r>
    </w:p>
    <w:p w14:paraId="5C3135E8" w14:textId="77777777" w:rsidR="00CD0B82" w:rsidRDefault="00CD0B82" w:rsidP="00CD0B82">
      <w:pPr>
        <w:pStyle w:val="CoPNumberlevel1"/>
      </w:pPr>
      <w:r>
        <w:t>Personal tutorials offered by academic staff are an integral part of the pastoral and academic support for all students on MSc programmes. The effectiveness of personal tutorials is a responsibility jointly shared between staff and students.</w:t>
      </w:r>
      <w:r w:rsidR="00D65459">
        <w:t xml:space="preserve"> </w:t>
      </w:r>
    </w:p>
    <w:p w14:paraId="66EDE6B0" w14:textId="77777777" w:rsidR="00CD0B82" w:rsidRDefault="00D65459" w:rsidP="00CD0B82">
      <w:pPr>
        <w:pStyle w:val="CoPNumberlevel1"/>
      </w:pPr>
      <w:r>
        <w:t xml:space="preserve">Each MSc student will be allocated an academic member of staff who will act as their Personal Tutor throughout the duration of their studies. </w:t>
      </w:r>
    </w:p>
    <w:p w14:paraId="4FB7D856" w14:textId="77777777" w:rsidR="00CD0B82" w:rsidRPr="00D65459" w:rsidRDefault="00D65459" w:rsidP="00D65459">
      <w:pPr>
        <w:pStyle w:val="CoPNumberlevel1"/>
      </w:pPr>
      <w:r>
        <w:t xml:space="preserve">Personal Tutors should meet with their tutee on at least three occasions during the academic year. </w:t>
      </w:r>
    </w:p>
    <w:p w14:paraId="5AF33262" w14:textId="3AFBC318" w:rsidR="00D65459" w:rsidRPr="00D65459" w:rsidRDefault="00D65459" w:rsidP="00D65459">
      <w:pPr>
        <w:pStyle w:val="CoPNumberlevel1"/>
      </w:pPr>
      <w:r>
        <w:lastRenderedPageBreak/>
        <w:t>Academic staff who act as personal tutors will signpost student</w:t>
      </w:r>
      <w:r w:rsidR="00607FDF">
        <w:t>s</w:t>
      </w:r>
      <w:r>
        <w:t xml:space="preserve"> with welfare issues to the Student Experience Officer so that support can be implemented. Matters discussed with a tutee should remain confidential unless they have given their explicit consent to discuss matters with other members of staff. The only time a tutor should consider breaking confidentia</w:t>
      </w:r>
      <w:r w:rsidR="002C6C9A">
        <w:t>lit</w:t>
      </w:r>
      <w:r>
        <w:t>y would be on the rare occasion that there were concerns a student might be at risk of harming themselves</w:t>
      </w:r>
      <w:r w:rsidR="0017083F">
        <w:t xml:space="preserve"> or others</w:t>
      </w:r>
      <w:r>
        <w:t xml:space="preserve">, or if the tutor has concerns relating </w:t>
      </w:r>
      <w:r w:rsidRPr="00AC68F9">
        <w:rPr>
          <w:i/>
        </w:rPr>
        <w:t>to LSTM’s</w:t>
      </w:r>
      <w:r w:rsidR="00AC68F9" w:rsidRPr="00AC68F9">
        <w:rPr>
          <w:i/>
        </w:rPr>
        <w:t xml:space="preserve"> Policy in Response to </w:t>
      </w:r>
      <w:r w:rsidRPr="00AC68F9">
        <w:rPr>
          <w:i/>
        </w:rPr>
        <w:t>P</w:t>
      </w:r>
      <w:r w:rsidR="00AF039C">
        <w:rPr>
          <w:i/>
        </w:rPr>
        <w:t>revent</w:t>
      </w:r>
      <w:r w:rsidRPr="00AC68F9">
        <w:rPr>
          <w:i/>
        </w:rPr>
        <w:t xml:space="preserve"> </w:t>
      </w:r>
      <w:r w:rsidR="00AC68F9" w:rsidRPr="00AC68F9">
        <w:rPr>
          <w:i/>
        </w:rPr>
        <w:t>Guidelines as part of the Counter-Terrorism and Security Act 2015</w:t>
      </w:r>
      <w:r>
        <w:t>. If this is the case, tutors should contact the Student Experience Officer for further advice</w:t>
      </w:r>
      <w:r w:rsidR="003C79CD">
        <w:t xml:space="preserve"> (Section 8)</w:t>
      </w:r>
      <w:r>
        <w:t>.</w:t>
      </w:r>
    </w:p>
    <w:p w14:paraId="3EE0BCF5" w14:textId="77777777" w:rsidR="00D65459" w:rsidRDefault="00D65459" w:rsidP="00D65459">
      <w:pPr>
        <w:pStyle w:val="CoPNumberlevel1"/>
      </w:pPr>
      <w:r>
        <w:t xml:space="preserve">Students are expected to engage fully with their Personal Tutor and should participate actively in arranged sessions. </w:t>
      </w:r>
    </w:p>
    <w:p w14:paraId="4EBDD74C" w14:textId="77777777" w:rsidR="00D65459" w:rsidRPr="00CD0B82" w:rsidRDefault="00D65459" w:rsidP="00D65459">
      <w:pPr>
        <w:pStyle w:val="CoPNumberlevel1"/>
      </w:pPr>
      <w:r>
        <w:t xml:space="preserve">Further guidance on the remit of a Personal Tutor can be found in the </w:t>
      </w:r>
      <w:r w:rsidRPr="00D65459">
        <w:rPr>
          <w:i/>
        </w:rPr>
        <w:t xml:space="preserve">Overview of the Personal Tutoring System </w:t>
      </w:r>
      <w:r w:rsidRPr="00D65459">
        <w:t>document</w:t>
      </w:r>
      <w:r>
        <w:t xml:space="preserve">.  </w:t>
      </w:r>
    </w:p>
    <w:p w14:paraId="63F965B5" w14:textId="77777777" w:rsidR="00D65459" w:rsidRPr="005E095A" w:rsidRDefault="00D65459" w:rsidP="00D65459">
      <w:pPr>
        <w:pStyle w:val="CoPborderheading"/>
      </w:pPr>
      <w:r>
        <w:t xml:space="preserve">Mechanisms for reporting concerns </w:t>
      </w:r>
    </w:p>
    <w:p w14:paraId="71BFCE8E" w14:textId="77777777" w:rsidR="00A5455E" w:rsidRDefault="004B0F9C" w:rsidP="00A5455E">
      <w:pPr>
        <w:pStyle w:val="CoPNumberlevel1"/>
      </w:pPr>
      <w:r>
        <w:t xml:space="preserve">If a member of staff or student is concerned about a student’s wellbeing, they should refer this to the Student Experience Officer who will then take responsibility for implementing all necessary support. </w:t>
      </w:r>
    </w:p>
    <w:p w14:paraId="66641CD0" w14:textId="77777777" w:rsidR="004B0F9C" w:rsidRDefault="004B0F9C" w:rsidP="004B0F9C">
      <w:pPr>
        <w:pStyle w:val="CoPNumberlevel1"/>
      </w:pPr>
      <w:r>
        <w:t xml:space="preserve">The Student Experience Officer and the Academic Registrar will hold regular ‘Students of Concern’ meetings where student welfare will be discussed. Other staff members involved with a particular student e.g. Personal Tutor, Director of Studies may also be invited to </w:t>
      </w:r>
      <w:r w:rsidR="00A5455E">
        <w:t>these meeting to provide input.</w:t>
      </w:r>
    </w:p>
    <w:p w14:paraId="519B0171" w14:textId="32BC1EAD" w:rsidR="00A24CE2" w:rsidRDefault="004B0F9C" w:rsidP="00A24CE2">
      <w:pPr>
        <w:pStyle w:val="CoPNumberlevel1"/>
      </w:pPr>
      <w:r w:rsidRPr="00A24CE2">
        <w:t xml:space="preserve">If staff members have concerns in relation </w:t>
      </w:r>
      <w:r w:rsidRPr="00AC68F9">
        <w:rPr>
          <w:i/>
        </w:rPr>
        <w:t xml:space="preserve">to LSTM’s </w:t>
      </w:r>
      <w:r w:rsidR="00AC68F9" w:rsidRPr="00AC68F9">
        <w:rPr>
          <w:i/>
        </w:rPr>
        <w:t xml:space="preserve">Policy in Response to </w:t>
      </w:r>
      <w:r w:rsidRPr="00AC68F9">
        <w:rPr>
          <w:i/>
        </w:rPr>
        <w:t>P</w:t>
      </w:r>
      <w:r w:rsidR="00F8490E">
        <w:rPr>
          <w:i/>
        </w:rPr>
        <w:t>revent</w:t>
      </w:r>
      <w:r w:rsidRPr="00AC68F9">
        <w:rPr>
          <w:i/>
        </w:rPr>
        <w:t xml:space="preserve"> </w:t>
      </w:r>
      <w:r w:rsidR="00AC68F9" w:rsidRPr="00AC68F9">
        <w:rPr>
          <w:i/>
        </w:rPr>
        <w:t>Guidelines as part of the Counter-Terrorism and Security Act 2015</w:t>
      </w:r>
      <w:r w:rsidRPr="00AC68F9">
        <w:t>,</w:t>
      </w:r>
      <w:r w:rsidRPr="00A24CE2">
        <w:t xml:space="preserve"> this should be referred to the Student Experience Officer who will then call a ‘Students of Concern’ meeting to discuss the individual involved. If deemed necessary, the Student Experience Officer will then refer this matter to the P</w:t>
      </w:r>
      <w:r w:rsidR="00F8490E">
        <w:t>revent</w:t>
      </w:r>
      <w:r w:rsidRPr="00A24CE2">
        <w:t xml:space="preserve"> Lead within the school. </w:t>
      </w:r>
      <w:r w:rsidR="003C79CD">
        <w:t>T</w:t>
      </w:r>
      <w:r w:rsidRPr="00A24CE2">
        <w:t xml:space="preserve">he </w:t>
      </w:r>
      <w:r w:rsidRPr="00B02CFB">
        <w:rPr>
          <w:i/>
        </w:rPr>
        <w:t>Proc</w:t>
      </w:r>
      <w:r w:rsidR="0017083F" w:rsidRPr="00B02CFB">
        <w:rPr>
          <w:i/>
        </w:rPr>
        <w:t>edure for</w:t>
      </w:r>
      <w:r w:rsidRPr="00B02CFB">
        <w:rPr>
          <w:i/>
        </w:rPr>
        <w:t xml:space="preserve"> Reporting Student P</w:t>
      </w:r>
      <w:r w:rsidR="00F8490E">
        <w:rPr>
          <w:i/>
        </w:rPr>
        <w:t>revent</w:t>
      </w:r>
      <w:r w:rsidRPr="00B02CFB">
        <w:rPr>
          <w:i/>
        </w:rPr>
        <w:t xml:space="preserve"> concerns</w:t>
      </w:r>
      <w:r w:rsidRPr="00A24CE2">
        <w:t xml:space="preserve"> </w:t>
      </w:r>
      <w:r w:rsidR="003C79CD">
        <w:t xml:space="preserve">gives </w:t>
      </w:r>
      <w:r w:rsidRPr="00A24CE2">
        <w:t>further guidance.</w:t>
      </w:r>
    </w:p>
    <w:p w14:paraId="5744EFA7" w14:textId="10C76F48" w:rsidR="00A24CE2" w:rsidRDefault="00A24CE2" w:rsidP="00A24CE2">
      <w:pPr>
        <w:pStyle w:val="CoPNumberlevel1"/>
        <w:numPr>
          <w:ilvl w:val="0"/>
          <w:numId w:val="0"/>
        </w:numPr>
        <w:ind w:left="1277"/>
      </w:pPr>
    </w:p>
    <w:p w14:paraId="4E04DAE6" w14:textId="2B4E76CF" w:rsidR="00A24CE2" w:rsidRDefault="00A24CE2" w:rsidP="00A24CE2">
      <w:pPr>
        <w:pStyle w:val="CoPNumberlevel1"/>
        <w:numPr>
          <w:ilvl w:val="0"/>
          <w:numId w:val="0"/>
        </w:numPr>
        <w:ind w:left="1277"/>
      </w:pPr>
    </w:p>
    <w:p w14:paraId="7C30A116" w14:textId="70A0CA8A" w:rsidR="00A24CE2" w:rsidRDefault="00A24CE2" w:rsidP="00A24CE2">
      <w:pPr>
        <w:pStyle w:val="CoPNumberlevel1"/>
        <w:numPr>
          <w:ilvl w:val="0"/>
          <w:numId w:val="0"/>
        </w:numPr>
        <w:ind w:left="1277"/>
      </w:pPr>
    </w:p>
    <w:p w14:paraId="63871295" w14:textId="4FE0C11C" w:rsidR="00A24CE2" w:rsidRDefault="00A24CE2" w:rsidP="00A24CE2">
      <w:pPr>
        <w:pStyle w:val="CoPNumberlevel1"/>
        <w:numPr>
          <w:ilvl w:val="0"/>
          <w:numId w:val="0"/>
        </w:numPr>
        <w:ind w:left="1277"/>
      </w:pPr>
    </w:p>
    <w:p w14:paraId="7C5D26FC" w14:textId="1CAD8D42" w:rsidR="00A24CE2" w:rsidRDefault="00A24CE2" w:rsidP="00A24CE2">
      <w:pPr>
        <w:pStyle w:val="CoPNumberlevel1"/>
        <w:numPr>
          <w:ilvl w:val="0"/>
          <w:numId w:val="0"/>
        </w:numPr>
        <w:ind w:left="1277"/>
      </w:pPr>
    </w:p>
    <w:p w14:paraId="4910CC42" w14:textId="2478CB0F" w:rsidR="00A24CE2" w:rsidRDefault="00A24CE2" w:rsidP="00A24CE2">
      <w:pPr>
        <w:pStyle w:val="CoPNumberlevel1"/>
        <w:numPr>
          <w:ilvl w:val="0"/>
          <w:numId w:val="0"/>
        </w:numPr>
        <w:ind w:left="1277"/>
      </w:pPr>
    </w:p>
    <w:p w14:paraId="4912B213" w14:textId="6D466282" w:rsidR="00A24CE2" w:rsidRDefault="00A24CE2" w:rsidP="00A24CE2">
      <w:pPr>
        <w:pStyle w:val="CoPNumberlevel1"/>
        <w:numPr>
          <w:ilvl w:val="0"/>
          <w:numId w:val="0"/>
        </w:numPr>
        <w:ind w:left="1277"/>
      </w:pPr>
    </w:p>
    <w:tbl>
      <w:tblPr>
        <w:tblW w:w="4979" w:type="pct"/>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131"/>
        <w:gridCol w:w="1846"/>
        <w:gridCol w:w="6001"/>
      </w:tblGrid>
      <w:tr w:rsidR="00A24CE2" w:rsidRPr="00853D2A" w14:paraId="47927ACB" w14:textId="77777777" w:rsidTr="00E929A4">
        <w:trPr>
          <w:trHeight w:val="397"/>
        </w:trPr>
        <w:tc>
          <w:tcPr>
            <w:tcW w:w="5000" w:type="pct"/>
            <w:gridSpan w:val="3"/>
            <w:shd w:val="clear" w:color="auto" w:fill="F7CAAC" w:themeFill="accent2" w:themeFillTint="66"/>
            <w:vAlign w:val="center"/>
            <w:hideMark/>
          </w:tcPr>
          <w:p w14:paraId="277B7DB6" w14:textId="77777777" w:rsidR="00A24CE2" w:rsidRPr="00805611" w:rsidRDefault="00A24CE2" w:rsidP="00E929A4">
            <w:pPr>
              <w:pStyle w:val="NoSpacing"/>
              <w:spacing w:before="120" w:after="120"/>
              <w:jc w:val="center"/>
              <w:rPr>
                <w:rFonts w:ascii="Arial" w:hAnsi="Arial" w:cs="Arial"/>
                <w:b/>
                <w:sz w:val="24"/>
                <w:szCs w:val="24"/>
              </w:rPr>
            </w:pPr>
            <w:r>
              <w:rPr>
                <w:rFonts w:ascii="Arial" w:hAnsi="Arial" w:cs="Arial"/>
                <w:b/>
                <w:sz w:val="24"/>
                <w:szCs w:val="24"/>
              </w:rPr>
              <w:t>Annex of Modifications</w:t>
            </w:r>
          </w:p>
        </w:tc>
      </w:tr>
      <w:tr w:rsidR="00A24CE2" w:rsidRPr="00853D2A" w14:paraId="3071B0FA" w14:textId="77777777" w:rsidTr="00E929A4">
        <w:trPr>
          <w:trHeight w:val="397"/>
        </w:trPr>
        <w:tc>
          <w:tcPr>
            <w:tcW w:w="630" w:type="pct"/>
            <w:vAlign w:val="center"/>
          </w:tcPr>
          <w:p w14:paraId="597DA91E" w14:textId="77777777" w:rsidR="00A24CE2" w:rsidRPr="00F76F9B" w:rsidRDefault="00A24CE2" w:rsidP="00E929A4">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14:paraId="44CDC8E7" w14:textId="77777777" w:rsidR="00A24CE2" w:rsidRPr="00F76F9B" w:rsidRDefault="00A24CE2" w:rsidP="00E929A4">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14:paraId="25A11A10" w14:textId="77777777" w:rsidR="00A24CE2" w:rsidRPr="00F76F9B" w:rsidRDefault="00A24CE2" w:rsidP="00E929A4">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A24CE2" w:rsidRPr="00853D2A" w14:paraId="6058F6B7" w14:textId="77777777" w:rsidTr="00E929A4">
        <w:trPr>
          <w:trHeight w:val="397"/>
        </w:trPr>
        <w:tc>
          <w:tcPr>
            <w:tcW w:w="630" w:type="pct"/>
            <w:vAlign w:val="center"/>
          </w:tcPr>
          <w:p w14:paraId="149F4682" w14:textId="4BDA2E43" w:rsidR="00A24CE2" w:rsidRPr="00805611" w:rsidRDefault="003D2021" w:rsidP="00E929A4">
            <w:pPr>
              <w:pStyle w:val="NoSpacing"/>
              <w:spacing w:before="120" w:after="120"/>
              <w:rPr>
                <w:rFonts w:ascii="Arial" w:hAnsi="Arial" w:cs="Arial"/>
              </w:rPr>
            </w:pPr>
            <w:r>
              <w:rPr>
                <w:rFonts w:ascii="Arial" w:hAnsi="Arial" w:cs="Arial"/>
              </w:rPr>
              <w:t>1.0</w:t>
            </w:r>
          </w:p>
        </w:tc>
        <w:tc>
          <w:tcPr>
            <w:tcW w:w="1028" w:type="pct"/>
            <w:vAlign w:val="center"/>
          </w:tcPr>
          <w:p w14:paraId="3D609AFB" w14:textId="6B48ACB5" w:rsidR="00A24CE2" w:rsidRPr="00805611" w:rsidRDefault="00A970F5" w:rsidP="00E929A4">
            <w:pPr>
              <w:pStyle w:val="NoSpacing"/>
              <w:spacing w:before="120" w:after="120"/>
              <w:rPr>
                <w:rFonts w:ascii="Arial" w:hAnsi="Arial" w:cs="Arial"/>
              </w:rPr>
            </w:pPr>
            <w:r>
              <w:rPr>
                <w:rFonts w:ascii="Arial" w:hAnsi="Arial" w:cs="Arial"/>
              </w:rPr>
              <w:t>14.12.16</w:t>
            </w:r>
          </w:p>
        </w:tc>
        <w:tc>
          <w:tcPr>
            <w:tcW w:w="3343" w:type="pct"/>
            <w:vAlign w:val="center"/>
          </w:tcPr>
          <w:p w14:paraId="3E265A0A" w14:textId="2B7664F8" w:rsidR="00A24CE2" w:rsidRPr="00805611" w:rsidRDefault="003D2021" w:rsidP="003D2021">
            <w:pPr>
              <w:pStyle w:val="NoSpacing"/>
              <w:spacing w:before="120" w:after="120"/>
              <w:rPr>
                <w:rFonts w:ascii="Arial" w:hAnsi="Arial" w:cs="Arial"/>
              </w:rPr>
            </w:pPr>
            <w:r>
              <w:rPr>
                <w:rFonts w:ascii="Arial" w:hAnsi="Arial" w:cs="Arial"/>
              </w:rPr>
              <w:t>Code of Practice has replaced the Code of Practice on Supporting Students with Disabilities to cover all aspects</w:t>
            </w:r>
            <w:r w:rsidR="0056446F">
              <w:rPr>
                <w:rFonts w:ascii="Arial" w:hAnsi="Arial" w:cs="Arial"/>
              </w:rPr>
              <w:t xml:space="preserve"> of student support and welfare including LSTM’s approach to PREVENT</w:t>
            </w:r>
          </w:p>
        </w:tc>
      </w:tr>
      <w:tr w:rsidR="00A24CE2" w:rsidRPr="00853D2A" w14:paraId="743B5245" w14:textId="77777777" w:rsidTr="00E929A4">
        <w:trPr>
          <w:trHeight w:val="397"/>
        </w:trPr>
        <w:tc>
          <w:tcPr>
            <w:tcW w:w="630" w:type="pct"/>
            <w:vAlign w:val="center"/>
          </w:tcPr>
          <w:p w14:paraId="4FFDB674" w14:textId="5D751D6B" w:rsidR="00A24CE2" w:rsidRPr="00805611" w:rsidRDefault="00492DF7" w:rsidP="00E929A4">
            <w:pPr>
              <w:pStyle w:val="NoSpacing"/>
              <w:spacing w:before="120" w:after="120"/>
              <w:rPr>
                <w:rFonts w:ascii="Arial" w:hAnsi="Arial" w:cs="Arial"/>
              </w:rPr>
            </w:pPr>
            <w:r>
              <w:rPr>
                <w:rFonts w:ascii="Arial" w:hAnsi="Arial" w:cs="Arial"/>
              </w:rPr>
              <w:t>2.1</w:t>
            </w:r>
          </w:p>
        </w:tc>
        <w:tc>
          <w:tcPr>
            <w:tcW w:w="1028" w:type="pct"/>
            <w:vAlign w:val="center"/>
          </w:tcPr>
          <w:p w14:paraId="534D502A" w14:textId="2B5AA1EC" w:rsidR="00A24CE2" w:rsidRPr="00805611" w:rsidRDefault="00492DF7" w:rsidP="00E929A4">
            <w:pPr>
              <w:pStyle w:val="NoSpacing"/>
              <w:spacing w:before="120" w:after="120"/>
              <w:rPr>
                <w:rFonts w:ascii="Arial" w:hAnsi="Arial" w:cs="Arial"/>
              </w:rPr>
            </w:pPr>
            <w:r>
              <w:rPr>
                <w:rFonts w:ascii="Arial" w:hAnsi="Arial" w:cs="Arial"/>
              </w:rPr>
              <w:t>24.01.19</w:t>
            </w:r>
          </w:p>
        </w:tc>
        <w:tc>
          <w:tcPr>
            <w:tcW w:w="3343" w:type="pct"/>
            <w:vAlign w:val="center"/>
          </w:tcPr>
          <w:p w14:paraId="580934CC" w14:textId="325A64D6" w:rsidR="00A24CE2" w:rsidRPr="00805611" w:rsidRDefault="00492DF7" w:rsidP="00E929A4">
            <w:pPr>
              <w:pStyle w:val="NoSpacing"/>
              <w:spacing w:before="120" w:after="120"/>
              <w:rPr>
                <w:rFonts w:ascii="Arial" w:hAnsi="Arial" w:cs="Arial"/>
              </w:rPr>
            </w:pPr>
            <w:r>
              <w:rPr>
                <w:rFonts w:ascii="Arial" w:hAnsi="Arial" w:cs="Arial"/>
              </w:rPr>
              <w:t>Minor edits to replace reference to Director of Education with Dean of Education</w:t>
            </w:r>
            <w:bookmarkStart w:id="7" w:name="_GoBack"/>
            <w:bookmarkEnd w:id="7"/>
          </w:p>
        </w:tc>
      </w:tr>
      <w:tr w:rsidR="00A24CE2" w:rsidRPr="00853D2A" w14:paraId="5D8BD76A" w14:textId="77777777" w:rsidTr="00E929A4">
        <w:trPr>
          <w:trHeight w:val="397"/>
        </w:trPr>
        <w:tc>
          <w:tcPr>
            <w:tcW w:w="630" w:type="pct"/>
            <w:vAlign w:val="center"/>
          </w:tcPr>
          <w:p w14:paraId="22D00AF1" w14:textId="77777777" w:rsidR="00A24CE2" w:rsidRPr="00805611" w:rsidRDefault="00A24CE2" w:rsidP="00E929A4">
            <w:pPr>
              <w:pStyle w:val="NoSpacing"/>
              <w:spacing w:before="120" w:after="120"/>
              <w:rPr>
                <w:rFonts w:ascii="Arial" w:hAnsi="Arial" w:cs="Arial"/>
              </w:rPr>
            </w:pPr>
          </w:p>
        </w:tc>
        <w:tc>
          <w:tcPr>
            <w:tcW w:w="1028" w:type="pct"/>
            <w:vAlign w:val="center"/>
          </w:tcPr>
          <w:p w14:paraId="22408C5B" w14:textId="77777777" w:rsidR="00A24CE2" w:rsidRPr="00805611" w:rsidRDefault="00A24CE2" w:rsidP="00E929A4">
            <w:pPr>
              <w:pStyle w:val="NoSpacing"/>
              <w:spacing w:before="120" w:after="120"/>
              <w:rPr>
                <w:rFonts w:ascii="Arial" w:hAnsi="Arial" w:cs="Arial"/>
              </w:rPr>
            </w:pPr>
          </w:p>
        </w:tc>
        <w:tc>
          <w:tcPr>
            <w:tcW w:w="3343" w:type="pct"/>
            <w:vAlign w:val="center"/>
          </w:tcPr>
          <w:p w14:paraId="21553981" w14:textId="77777777" w:rsidR="00A24CE2" w:rsidRPr="00805611" w:rsidRDefault="00A24CE2" w:rsidP="00E929A4">
            <w:pPr>
              <w:pStyle w:val="NoSpacing"/>
              <w:spacing w:before="120" w:after="120"/>
              <w:rPr>
                <w:rFonts w:ascii="Arial" w:hAnsi="Arial" w:cs="Arial"/>
              </w:rPr>
            </w:pPr>
          </w:p>
        </w:tc>
      </w:tr>
      <w:tr w:rsidR="00A24CE2" w:rsidRPr="00853D2A" w14:paraId="399CA823" w14:textId="77777777" w:rsidTr="00E929A4">
        <w:trPr>
          <w:trHeight w:val="397"/>
        </w:trPr>
        <w:tc>
          <w:tcPr>
            <w:tcW w:w="630" w:type="pct"/>
            <w:vAlign w:val="center"/>
          </w:tcPr>
          <w:p w14:paraId="58D3D745" w14:textId="77777777" w:rsidR="00A24CE2" w:rsidRPr="00805611" w:rsidRDefault="00A24CE2" w:rsidP="00E929A4">
            <w:pPr>
              <w:pStyle w:val="NoSpacing"/>
              <w:spacing w:before="120" w:after="120"/>
              <w:rPr>
                <w:rFonts w:ascii="Arial" w:hAnsi="Arial" w:cs="Arial"/>
              </w:rPr>
            </w:pPr>
          </w:p>
        </w:tc>
        <w:tc>
          <w:tcPr>
            <w:tcW w:w="1028" w:type="pct"/>
            <w:vAlign w:val="center"/>
          </w:tcPr>
          <w:p w14:paraId="51F66322" w14:textId="77777777" w:rsidR="00A24CE2" w:rsidRPr="00805611" w:rsidRDefault="00A24CE2" w:rsidP="00E929A4">
            <w:pPr>
              <w:pStyle w:val="NoSpacing"/>
              <w:spacing w:before="120" w:after="120"/>
              <w:rPr>
                <w:rFonts w:ascii="Arial" w:hAnsi="Arial" w:cs="Arial"/>
              </w:rPr>
            </w:pPr>
          </w:p>
        </w:tc>
        <w:tc>
          <w:tcPr>
            <w:tcW w:w="3343" w:type="pct"/>
            <w:vAlign w:val="center"/>
          </w:tcPr>
          <w:p w14:paraId="7445ECDC" w14:textId="77777777" w:rsidR="00A24CE2" w:rsidRPr="00805611" w:rsidRDefault="00A24CE2" w:rsidP="00E929A4">
            <w:pPr>
              <w:pStyle w:val="NoSpacing"/>
              <w:spacing w:before="120" w:after="120"/>
              <w:rPr>
                <w:rFonts w:ascii="Arial" w:hAnsi="Arial" w:cs="Arial"/>
              </w:rPr>
            </w:pPr>
          </w:p>
        </w:tc>
      </w:tr>
      <w:tr w:rsidR="00A24CE2" w:rsidRPr="00853D2A" w14:paraId="2881F1FD" w14:textId="77777777" w:rsidTr="00E929A4">
        <w:trPr>
          <w:trHeight w:val="397"/>
        </w:trPr>
        <w:tc>
          <w:tcPr>
            <w:tcW w:w="630" w:type="pct"/>
            <w:vAlign w:val="center"/>
          </w:tcPr>
          <w:p w14:paraId="49EB1610" w14:textId="77777777" w:rsidR="00A24CE2" w:rsidRPr="00805611" w:rsidRDefault="00A24CE2" w:rsidP="00E929A4">
            <w:pPr>
              <w:pStyle w:val="NoSpacing"/>
              <w:spacing w:before="120" w:after="120"/>
              <w:rPr>
                <w:rFonts w:ascii="Arial" w:hAnsi="Arial" w:cs="Arial"/>
              </w:rPr>
            </w:pPr>
          </w:p>
        </w:tc>
        <w:tc>
          <w:tcPr>
            <w:tcW w:w="1028" w:type="pct"/>
            <w:vAlign w:val="center"/>
          </w:tcPr>
          <w:p w14:paraId="5ABA4B5D" w14:textId="77777777" w:rsidR="00A24CE2" w:rsidRPr="00805611" w:rsidRDefault="00A24CE2" w:rsidP="00E929A4">
            <w:pPr>
              <w:pStyle w:val="NoSpacing"/>
              <w:spacing w:before="120" w:after="120"/>
              <w:rPr>
                <w:rFonts w:ascii="Arial" w:hAnsi="Arial" w:cs="Arial"/>
              </w:rPr>
            </w:pPr>
          </w:p>
        </w:tc>
        <w:tc>
          <w:tcPr>
            <w:tcW w:w="3343" w:type="pct"/>
            <w:vAlign w:val="center"/>
          </w:tcPr>
          <w:p w14:paraId="37EA09AD" w14:textId="77777777" w:rsidR="00A24CE2" w:rsidRPr="00805611" w:rsidRDefault="00A24CE2" w:rsidP="00E929A4">
            <w:pPr>
              <w:pStyle w:val="NoSpacing"/>
              <w:spacing w:before="120" w:after="120"/>
              <w:rPr>
                <w:rFonts w:ascii="Arial" w:hAnsi="Arial" w:cs="Arial"/>
              </w:rPr>
            </w:pPr>
          </w:p>
        </w:tc>
      </w:tr>
    </w:tbl>
    <w:p w14:paraId="403E0CBD" w14:textId="77777777" w:rsidR="00A24CE2" w:rsidRDefault="00A24CE2" w:rsidP="00A24CE2">
      <w:pPr>
        <w:pStyle w:val="CoPNumberlevel1"/>
        <w:numPr>
          <w:ilvl w:val="0"/>
          <w:numId w:val="0"/>
        </w:numPr>
        <w:ind w:left="1277"/>
      </w:pPr>
    </w:p>
    <w:sectPr w:rsidR="00A24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B463E"/>
    <w:multiLevelType w:val="hybridMultilevel"/>
    <w:tmpl w:val="DC1A8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631F"/>
    <w:multiLevelType w:val="hybridMultilevel"/>
    <w:tmpl w:val="ECBA4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FF2D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8D1CC1"/>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3500FF"/>
    <w:multiLevelType w:val="multilevel"/>
    <w:tmpl w:val="2B829FAE"/>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1277" w:hanging="567"/>
      </w:pPr>
      <w:rPr>
        <w:rFonts w:ascii="Arial" w:hAnsi="Arial" w:hint="default"/>
        <w:spacing w:val="0"/>
        <w:sz w:val="22"/>
      </w:rPr>
    </w:lvl>
    <w:lvl w:ilvl="2">
      <w:start w:val="1"/>
      <w:numFmt w:val="decimal"/>
      <w:pStyle w:val="CoPNumberlevel2"/>
      <w:isLgl/>
      <w:lvlText w:val="%1.%2.%3"/>
      <w:lvlJc w:val="left"/>
      <w:pPr>
        <w:ind w:left="1418" w:hanging="851"/>
      </w:pPr>
      <w:rPr>
        <w:rFonts w:hint="default"/>
      </w:rPr>
    </w:lvl>
    <w:lvl w:ilvl="3">
      <w:start w:val="1"/>
      <w:numFmt w:val="decimal"/>
      <w:pStyle w:val="CoPNumberlevel3"/>
      <w:isLgl/>
      <w:lvlText w:val="%1.%2.%3.%4"/>
      <w:lvlJc w:val="left"/>
      <w:pPr>
        <w:ind w:left="256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056004"/>
    <w:multiLevelType w:val="hybridMultilevel"/>
    <w:tmpl w:val="9D9E60D8"/>
    <w:lvl w:ilvl="0" w:tplc="39B2CF78">
      <w:numFmt w:val="bullet"/>
      <w:lvlText w:val="•"/>
      <w:lvlJc w:val="left"/>
      <w:pPr>
        <w:ind w:left="720" w:hanging="360"/>
      </w:pPr>
      <w:rPr>
        <w:rFonts w:ascii="Arial" w:hAnsi="Arial" w:hint="default"/>
        <w:b w:val="0"/>
        <w:i w:val="0"/>
        <w:color w:val="231F20"/>
        <w:w w:val="14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55C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9CE"/>
    <w:multiLevelType w:val="hybridMultilevel"/>
    <w:tmpl w:val="9BAEDD4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0"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6"/>
  </w:num>
  <w:num w:numId="4">
    <w:abstractNumId w:val="7"/>
  </w:num>
  <w:num w:numId="5">
    <w:abstractNumId w:val="1"/>
  </w:num>
  <w:num w:numId="6">
    <w:abstractNumId w:val="6"/>
  </w:num>
  <w:num w:numId="7">
    <w:abstractNumId w:val="6"/>
  </w:num>
  <w:num w:numId="8">
    <w:abstractNumId w:val="2"/>
  </w:num>
  <w:num w:numId="9">
    <w:abstractNumId w:val="4"/>
  </w:num>
  <w:num w:numId="10">
    <w:abstractNumId w:val="3"/>
  </w:num>
  <w:num w:numId="11">
    <w:abstractNumId w:val="6"/>
  </w:num>
  <w:num w:numId="12">
    <w:abstractNumId w:val="8"/>
  </w:num>
  <w:num w:numId="13">
    <w:abstractNumId w:val="6"/>
  </w:num>
  <w:num w:numId="14">
    <w:abstractNumId w:val="6"/>
  </w:num>
  <w:num w:numId="15">
    <w:abstractNumId w:val="9"/>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0"/>
    <w:rsid w:val="000522A8"/>
    <w:rsid w:val="0013713C"/>
    <w:rsid w:val="0017083F"/>
    <w:rsid w:val="002316D4"/>
    <w:rsid w:val="00246A67"/>
    <w:rsid w:val="002C6C9A"/>
    <w:rsid w:val="00340C0C"/>
    <w:rsid w:val="00341266"/>
    <w:rsid w:val="003819E7"/>
    <w:rsid w:val="00384E40"/>
    <w:rsid w:val="003C79CD"/>
    <w:rsid w:val="003D2021"/>
    <w:rsid w:val="0041319B"/>
    <w:rsid w:val="00492DF7"/>
    <w:rsid w:val="004B0F9C"/>
    <w:rsid w:val="00527980"/>
    <w:rsid w:val="0056446F"/>
    <w:rsid w:val="00607FDF"/>
    <w:rsid w:val="0071652C"/>
    <w:rsid w:val="00765F9A"/>
    <w:rsid w:val="007C6253"/>
    <w:rsid w:val="007D0D6E"/>
    <w:rsid w:val="0080268F"/>
    <w:rsid w:val="0085443E"/>
    <w:rsid w:val="00991BC5"/>
    <w:rsid w:val="009A770B"/>
    <w:rsid w:val="00A24CE2"/>
    <w:rsid w:val="00A5455E"/>
    <w:rsid w:val="00A637CA"/>
    <w:rsid w:val="00A970F5"/>
    <w:rsid w:val="00AC68F9"/>
    <w:rsid w:val="00AF039C"/>
    <w:rsid w:val="00B02CFB"/>
    <w:rsid w:val="00B2017F"/>
    <w:rsid w:val="00BB1A45"/>
    <w:rsid w:val="00BF4DF2"/>
    <w:rsid w:val="00C426DC"/>
    <w:rsid w:val="00C61AA2"/>
    <w:rsid w:val="00C87B76"/>
    <w:rsid w:val="00CC0DF6"/>
    <w:rsid w:val="00CD0B82"/>
    <w:rsid w:val="00CF0074"/>
    <w:rsid w:val="00D65459"/>
    <w:rsid w:val="00D8088F"/>
    <w:rsid w:val="00E16EB7"/>
    <w:rsid w:val="00F8490E"/>
    <w:rsid w:val="00FC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8B5E"/>
  <w15:chartTrackingRefBased/>
  <w15:docId w15:val="{54ACF185-29B9-468D-9F6F-4712EF2E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25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253"/>
    <w:rPr>
      <w:color w:val="0563C1" w:themeColor="hyperlink"/>
      <w:u w:val="single"/>
    </w:rPr>
  </w:style>
  <w:style w:type="paragraph" w:styleId="NoSpacing">
    <w:name w:val="No Spacing"/>
    <w:link w:val="NoSpacingChar"/>
    <w:uiPriority w:val="1"/>
    <w:qFormat/>
    <w:rsid w:val="007C6253"/>
    <w:pPr>
      <w:spacing w:after="0" w:line="240" w:lineRule="auto"/>
    </w:pPr>
  </w:style>
  <w:style w:type="character" w:customStyle="1" w:styleId="NoSpacingChar">
    <w:name w:val="No Spacing Char"/>
    <w:basedOn w:val="DefaultParagraphFont"/>
    <w:link w:val="NoSpacing"/>
    <w:uiPriority w:val="1"/>
    <w:locked/>
    <w:rsid w:val="007C6253"/>
  </w:style>
  <w:style w:type="paragraph" w:styleId="TOC1">
    <w:name w:val="toc 1"/>
    <w:basedOn w:val="CoPborderheading"/>
    <w:next w:val="Normal"/>
    <w:autoRedefine/>
    <w:uiPriority w:val="39"/>
    <w:unhideWhenUsed/>
    <w:rsid w:val="007C6253"/>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7C6253"/>
    <w:pPr>
      <w:numPr>
        <w:numId w:val="1"/>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borderheading">
    <w:name w:val="CoP border heading"/>
    <w:basedOn w:val="Normal"/>
    <w:autoRedefine/>
    <w:qFormat/>
    <w:rsid w:val="007C6253"/>
    <w:pPr>
      <w:keepNext/>
      <w:keepLines/>
      <w:numPr>
        <w:numId w:val="3"/>
      </w:numPr>
      <w:pBdr>
        <w:top w:val="single" w:sz="4" w:space="9" w:color="C45911" w:themeColor="accent2" w:themeShade="BF"/>
        <w:bottom w:val="single" w:sz="4" w:space="9" w:color="C45911" w:themeColor="accent2" w:themeShade="BF"/>
      </w:pBdr>
      <w:autoSpaceDE w:val="0"/>
      <w:autoSpaceDN w:val="0"/>
      <w:adjustRightInd w:val="0"/>
      <w:spacing w:before="600" w:after="0" w:line="240" w:lineRule="auto"/>
      <w:jc w:val="both"/>
    </w:pPr>
    <w:rPr>
      <w:rFonts w:ascii="Arial Bold" w:hAnsi="Arial Bold" w:cs="Arial"/>
      <w:b/>
      <w:bCs/>
      <w:color w:val="C45911" w:themeColor="accent2" w:themeShade="BF"/>
      <w:sz w:val="24"/>
      <w:szCs w:val="28"/>
    </w:rPr>
  </w:style>
  <w:style w:type="paragraph" w:customStyle="1" w:styleId="CoPbullet">
    <w:name w:val="CoP bullet"/>
    <w:basedOn w:val="ListBullet"/>
    <w:link w:val="CoPbulletChar"/>
    <w:qFormat/>
    <w:rsid w:val="007C6253"/>
    <w:pPr>
      <w:autoSpaceDE w:val="0"/>
      <w:autoSpaceDN w:val="0"/>
      <w:adjustRightInd w:val="0"/>
      <w:spacing w:before="120" w:after="120" w:line="240" w:lineRule="auto"/>
      <w:ind w:right="346"/>
      <w:contextualSpacing w:val="0"/>
      <w:jc w:val="both"/>
    </w:pPr>
    <w:rPr>
      <w:rFonts w:ascii="Arial" w:hAnsi="Arial" w:cs="Arial"/>
    </w:rPr>
  </w:style>
  <w:style w:type="character" w:customStyle="1" w:styleId="CoPbulletChar">
    <w:name w:val="CoP bullet Char"/>
    <w:basedOn w:val="DefaultParagraphFont"/>
    <w:link w:val="CoPbullet"/>
    <w:rsid w:val="007C6253"/>
    <w:rPr>
      <w:rFonts w:ascii="Arial" w:eastAsiaTheme="minorEastAsia" w:hAnsi="Arial" w:cs="Arial"/>
      <w:lang w:eastAsia="en-GB"/>
    </w:rPr>
  </w:style>
  <w:style w:type="paragraph" w:customStyle="1" w:styleId="Style1">
    <w:name w:val="Style1"/>
    <w:basedOn w:val="ListParagraph"/>
    <w:qFormat/>
    <w:rsid w:val="007C6253"/>
    <w:pPr>
      <w:numPr>
        <w:ilvl w:val="1"/>
        <w:numId w:val="3"/>
      </w:numPr>
      <w:tabs>
        <w:tab w:val="num" w:pos="360"/>
      </w:tabs>
      <w:ind w:left="720" w:firstLine="0"/>
    </w:pPr>
    <w:rPr>
      <w:rFonts w:ascii="Arial" w:hAnsi="Arial" w:cs="Arial"/>
    </w:rPr>
  </w:style>
  <w:style w:type="paragraph" w:customStyle="1" w:styleId="CoPNumberlevel1">
    <w:name w:val="CoP Number level 1"/>
    <w:basedOn w:val="Style1"/>
    <w:qFormat/>
    <w:rsid w:val="007C6253"/>
    <w:pPr>
      <w:tabs>
        <w:tab w:val="clear" w:pos="360"/>
      </w:tabs>
      <w:spacing w:before="240" w:after="120"/>
      <w:ind w:left="1277" w:hanging="567"/>
      <w:contextualSpacing w:val="0"/>
    </w:pPr>
  </w:style>
  <w:style w:type="paragraph" w:customStyle="1" w:styleId="CoPNumberlevel2">
    <w:name w:val="CoP Number level 2"/>
    <w:basedOn w:val="Style1"/>
    <w:qFormat/>
    <w:rsid w:val="007C6253"/>
    <w:pPr>
      <w:numPr>
        <w:ilvl w:val="2"/>
      </w:numPr>
      <w:spacing w:before="120" w:after="240"/>
      <w:contextualSpacing w:val="0"/>
    </w:pPr>
  </w:style>
  <w:style w:type="paragraph" w:styleId="ListBullet">
    <w:name w:val="List Bullet"/>
    <w:basedOn w:val="Normal"/>
    <w:uiPriority w:val="99"/>
    <w:semiHidden/>
    <w:unhideWhenUsed/>
    <w:rsid w:val="007C6253"/>
    <w:pPr>
      <w:numPr>
        <w:numId w:val="2"/>
      </w:numPr>
      <w:contextualSpacing/>
    </w:pPr>
  </w:style>
  <w:style w:type="paragraph" w:customStyle="1" w:styleId="CoPNumberlevel3">
    <w:name w:val="CoP Number level 3"/>
    <w:basedOn w:val="CoPNumberlevel2"/>
    <w:qFormat/>
    <w:rsid w:val="007C6253"/>
    <w:pPr>
      <w:numPr>
        <w:ilvl w:val="3"/>
      </w:numPr>
      <w:tabs>
        <w:tab w:val="num" w:pos="360"/>
      </w:tabs>
      <w:ind w:left="1418" w:firstLine="0"/>
    </w:pPr>
  </w:style>
  <w:style w:type="paragraph" w:styleId="ListParagraph">
    <w:name w:val="List Paragraph"/>
    <w:basedOn w:val="Normal"/>
    <w:uiPriority w:val="34"/>
    <w:qFormat/>
    <w:rsid w:val="007C6253"/>
    <w:pPr>
      <w:ind w:left="720"/>
      <w:contextualSpacing/>
    </w:pPr>
  </w:style>
  <w:style w:type="paragraph" w:styleId="BalloonText">
    <w:name w:val="Balloon Text"/>
    <w:basedOn w:val="Normal"/>
    <w:link w:val="BalloonTextChar"/>
    <w:uiPriority w:val="99"/>
    <w:semiHidden/>
    <w:unhideWhenUsed/>
    <w:rsid w:val="00C61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2"/>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E16EB7"/>
    <w:rPr>
      <w:sz w:val="16"/>
      <w:szCs w:val="16"/>
    </w:rPr>
  </w:style>
  <w:style w:type="paragraph" w:styleId="CommentText">
    <w:name w:val="annotation text"/>
    <w:basedOn w:val="Normal"/>
    <w:link w:val="CommentTextChar"/>
    <w:uiPriority w:val="99"/>
    <w:semiHidden/>
    <w:unhideWhenUsed/>
    <w:rsid w:val="00E16EB7"/>
    <w:pPr>
      <w:spacing w:line="240" w:lineRule="auto"/>
    </w:pPr>
    <w:rPr>
      <w:sz w:val="20"/>
      <w:szCs w:val="20"/>
    </w:rPr>
  </w:style>
  <w:style w:type="character" w:customStyle="1" w:styleId="CommentTextChar">
    <w:name w:val="Comment Text Char"/>
    <w:basedOn w:val="DefaultParagraphFont"/>
    <w:link w:val="CommentText"/>
    <w:uiPriority w:val="99"/>
    <w:semiHidden/>
    <w:rsid w:val="00E16EB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16EB7"/>
    <w:rPr>
      <w:b/>
      <w:bCs/>
    </w:rPr>
  </w:style>
  <w:style w:type="character" w:customStyle="1" w:styleId="CommentSubjectChar">
    <w:name w:val="Comment Subject Char"/>
    <w:basedOn w:val="CommentTextChar"/>
    <w:link w:val="CommentSubject"/>
    <w:uiPriority w:val="99"/>
    <w:semiHidden/>
    <w:rsid w:val="00E16EB7"/>
    <w:rPr>
      <w:rFonts w:eastAsiaTheme="minorEastAsia"/>
      <w:b/>
      <w:bCs/>
      <w:sz w:val="20"/>
      <w:szCs w:val="20"/>
      <w:lang w:eastAsia="en-GB"/>
    </w:rPr>
  </w:style>
  <w:style w:type="paragraph" w:customStyle="1" w:styleId="CoPSubHead">
    <w:name w:val="CoP SubHead"/>
    <w:basedOn w:val="Normal"/>
    <w:rsid w:val="0034126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850F-B536-4B14-9A7E-3D07C32C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Ruth Pollard</cp:lastModifiedBy>
  <cp:revision>2</cp:revision>
  <cp:lastPrinted>2017-10-27T15:52:00Z</cp:lastPrinted>
  <dcterms:created xsi:type="dcterms:W3CDTF">2019-01-24T16:46:00Z</dcterms:created>
  <dcterms:modified xsi:type="dcterms:W3CDTF">2019-01-24T16:46:00Z</dcterms:modified>
</cp:coreProperties>
</file>