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88"/>
      </w:tblGrid>
      <w:tr w:rsidR="00ED4A53" w14:paraId="11181C8A" w14:textId="77777777" w:rsidTr="00A754E2">
        <w:trPr>
          <w:trHeight w:val="1984"/>
          <w:jc w:val="center"/>
        </w:trPr>
        <w:tc>
          <w:tcPr>
            <w:tcW w:w="5000" w:type="pc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14:paraId="656731BB" w14:textId="2CE30E19" w:rsidR="00853D2A" w:rsidRDefault="009F0E7F" w:rsidP="00CA5861">
            <w:r>
              <w:rPr>
                <w:noProof/>
              </w:rPr>
              <w:drawing>
                <wp:anchor distT="0" distB="0" distL="114300" distR="114300" simplePos="0" relativeHeight="251659264" behindDoc="0" locked="0" layoutInCell="1" allowOverlap="1" wp14:anchorId="2E5E0716" wp14:editId="27B2318F">
                  <wp:simplePos x="0" y="0"/>
                  <wp:positionH relativeFrom="margin">
                    <wp:posOffset>4336415</wp:posOffset>
                  </wp:positionH>
                  <wp:positionV relativeFrom="margin">
                    <wp:posOffset>112395</wp:posOffset>
                  </wp:positionV>
                  <wp:extent cx="1396958" cy="10800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8"/>
                          <a:stretch>
                            <a:fillRect/>
                          </a:stretch>
                        </pic:blipFill>
                        <pic:spPr>
                          <a:xfrm>
                            <a:off x="0" y="0"/>
                            <a:ext cx="1396958" cy="1080000"/>
                          </a:xfrm>
                          <a:prstGeom prst="rect">
                            <a:avLst/>
                          </a:prstGeom>
                        </pic:spPr>
                      </pic:pic>
                    </a:graphicData>
                  </a:graphic>
                  <wp14:sizeRelH relativeFrom="margin">
                    <wp14:pctWidth>0</wp14:pctWidth>
                  </wp14:sizeRelH>
                  <wp14:sizeRelV relativeFrom="margin">
                    <wp14:pctHeight>0</wp14:pctHeight>
                  </wp14:sizeRelV>
                </wp:anchor>
              </w:drawing>
            </w:r>
          </w:p>
          <w:p w14:paraId="42EBBEE8" w14:textId="0C54D103" w:rsidR="00853D2A" w:rsidRDefault="00853D2A" w:rsidP="00853D2A"/>
          <w:p w14:paraId="69079A4D" w14:textId="77777777" w:rsidR="00C001F3" w:rsidRPr="00C001F3" w:rsidRDefault="00853D2A" w:rsidP="00853D2A">
            <w:pPr>
              <w:tabs>
                <w:tab w:val="left" w:pos="8205"/>
              </w:tabs>
              <w:rPr>
                <w:b/>
              </w:rPr>
            </w:pPr>
            <w:r>
              <w:tab/>
            </w:r>
          </w:p>
          <w:p w14:paraId="63B77BE0" w14:textId="77777777" w:rsidR="00ED4A53" w:rsidRPr="00C001F3" w:rsidRDefault="00C001F3" w:rsidP="00C001F3">
            <w:pPr>
              <w:tabs>
                <w:tab w:val="left" w:pos="7095"/>
              </w:tabs>
            </w:pPr>
            <w:r>
              <w:tab/>
            </w:r>
          </w:p>
        </w:tc>
      </w:tr>
      <w:tr w:rsidR="00ED4A53" w14:paraId="09AB8FAC" w14:textId="77777777" w:rsidTr="003C5E2D">
        <w:trPr>
          <w:trHeight w:val="1440"/>
          <w:jc w:val="center"/>
        </w:trPr>
        <w:tc>
          <w:tcPr>
            <w:tcW w:w="5000" w:type="pct"/>
            <w:tcBorders>
              <w:top w:val="single" w:sz="4" w:space="0" w:color="943634" w:themeColor="accent2" w:themeShade="BF"/>
              <w:bottom w:val="single" w:sz="4" w:space="0" w:color="943634" w:themeColor="accent2" w:themeShade="BF"/>
            </w:tcBorders>
            <w:vAlign w:val="center"/>
          </w:tcPr>
          <w:p w14:paraId="650B9DA4" w14:textId="4AE6C7D7" w:rsidR="00ED4A53" w:rsidRPr="00CA7FE2" w:rsidRDefault="00C659A9" w:rsidP="000B6B11">
            <w:pPr>
              <w:rPr>
                <w:rFonts w:ascii="Arial" w:eastAsia="Times New Roman" w:hAnsi="Arial" w:cs="Arial"/>
                <w:b/>
                <w:sz w:val="72"/>
                <w:szCs w:val="72"/>
              </w:rPr>
            </w:pPr>
            <w:r>
              <w:rPr>
                <w:rFonts w:ascii="Arial" w:eastAsia="Times New Roman" w:hAnsi="Arial" w:cs="Arial"/>
                <w:b/>
                <w:sz w:val="72"/>
                <w:szCs w:val="72"/>
              </w:rPr>
              <w:t xml:space="preserve">Code of Practice </w:t>
            </w:r>
            <w:proofErr w:type="gramStart"/>
            <w:r>
              <w:rPr>
                <w:rFonts w:ascii="Arial" w:eastAsia="Times New Roman" w:hAnsi="Arial" w:cs="Arial"/>
                <w:b/>
                <w:sz w:val="72"/>
                <w:szCs w:val="72"/>
              </w:rPr>
              <w:t>on</w:t>
            </w:r>
            <w:r w:rsidR="00585CB7">
              <w:rPr>
                <w:rFonts w:ascii="Arial" w:eastAsia="Times New Roman" w:hAnsi="Arial" w:cs="Arial"/>
                <w:b/>
                <w:sz w:val="72"/>
                <w:szCs w:val="72"/>
              </w:rPr>
              <w:t xml:space="preserve"> </w:t>
            </w:r>
            <w:r>
              <w:rPr>
                <w:rFonts w:ascii="Arial" w:eastAsia="Times New Roman" w:hAnsi="Arial" w:cs="Arial"/>
                <w:b/>
                <w:sz w:val="72"/>
                <w:szCs w:val="72"/>
              </w:rPr>
              <w:t xml:space="preserve"> </w:t>
            </w:r>
            <w:r w:rsidR="000453DC">
              <w:rPr>
                <w:rFonts w:ascii="Arial" w:eastAsia="Times New Roman" w:hAnsi="Arial" w:cs="Arial"/>
                <w:b/>
                <w:sz w:val="72"/>
                <w:szCs w:val="72"/>
              </w:rPr>
              <w:t>Monitoring</w:t>
            </w:r>
            <w:proofErr w:type="gramEnd"/>
            <w:r w:rsidR="000453DC">
              <w:rPr>
                <w:rFonts w:ascii="Arial" w:eastAsia="Times New Roman" w:hAnsi="Arial" w:cs="Arial"/>
                <w:b/>
                <w:sz w:val="72"/>
                <w:szCs w:val="72"/>
              </w:rPr>
              <w:t xml:space="preserve"> </w:t>
            </w:r>
            <w:r w:rsidR="000B6B11">
              <w:rPr>
                <w:rFonts w:ascii="Arial" w:eastAsia="Times New Roman" w:hAnsi="Arial" w:cs="Arial"/>
                <w:b/>
                <w:sz w:val="72"/>
                <w:szCs w:val="72"/>
              </w:rPr>
              <w:t>Student Progress</w:t>
            </w:r>
            <w:r w:rsidR="00CA7FE2" w:rsidRPr="00CA7FE2">
              <w:rPr>
                <w:rFonts w:ascii="Arial" w:eastAsia="Times New Roman" w:hAnsi="Arial" w:cs="Arial"/>
                <w:b/>
                <w:sz w:val="72"/>
                <w:szCs w:val="72"/>
              </w:rPr>
              <w:t xml:space="preserve"> </w:t>
            </w:r>
            <w:r w:rsidR="000B6B11">
              <w:rPr>
                <w:rFonts w:ascii="Arial" w:eastAsia="Times New Roman" w:hAnsi="Arial" w:cs="Arial"/>
                <w:b/>
                <w:sz w:val="72"/>
                <w:szCs w:val="72"/>
              </w:rPr>
              <w:t>and the Conduct of Boards of Examiners</w:t>
            </w:r>
          </w:p>
        </w:tc>
      </w:tr>
      <w:tr w:rsidR="00ED4A53" w14:paraId="1F67EB0B" w14:textId="77777777" w:rsidTr="00AF57E6">
        <w:trPr>
          <w:trHeight w:val="806"/>
          <w:jc w:val="center"/>
        </w:trPr>
        <w:tc>
          <w:tcPr>
            <w:tcW w:w="5000" w:type="pct"/>
            <w:tcBorders>
              <w:top w:val="single" w:sz="4" w:space="0" w:color="943634" w:themeColor="accent2" w:themeShade="BF"/>
              <w:bottom w:val="single" w:sz="6" w:space="0" w:color="943634" w:themeColor="accent2" w:themeShade="BF"/>
            </w:tcBorders>
            <w:vAlign w:val="center"/>
          </w:tcPr>
          <w:p w14:paraId="15B36CF7" w14:textId="77777777" w:rsidR="00ED4A53" w:rsidRPr="00D615B9" w:rsidRDefault="00ED4A53" w:rsidP="00CA5861">
            <w:pPr>
              <w:pStyle w:val="NoSpacing"/>
              <w:spacing w:before="240" w:after="240"/>
              <w:jc w:val="center"/>
              <w:rPr>
                <w:rFonts w:ascii="Arial" w:eastAsia="Times New Roman" w:hAnsi="Arial" w:cs="Arial"/>
                <w:b/>
                <w:sz w:val="44"/>
                <w:szCs w:val="44"/>
              </w:rPr>
            </w:pPr>
          </w:p>
        </w:tc>
      </w:tr>
      <w:tr w:rsidR="00ED4A53" w14:paraId="00E7E499" w14:textId="77777777" w:rsidTr="00805611">
        <w:trPr>
          <w:trHeight w:val="3786"/>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horzAnchor="margin" w:tblpXSpec="center" w:tblpYSpec="bottom"/>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AF57E6" w:rsidRPr="004C4556" w14:paraId="32673D89" w14:textId="77777777" w:rsidTr="00805611">
              <w:trPr>
                <w:trHeight w:val="397"/>
              </w:trPr>
              <w:tc>
                <w:tcPr>
                  <w:tcW w:w="2371" w:type="pct"/>
                  <w:vAlign w:val="center"/>
                  <w:hideMark/>
                </w:tcPr>
                <w:p w14:paraId="70B0B805" w14:textId="77777777" w:rsidR="00AF57E6" w:rsidRPr="00805611" w:rsidRDefault="00AF57E6" w:rsidP="00AF57E6">
                  <w:pPr>
                    <w:pStyle w:val="NoSpacing"/>
                    <w:spacing w:before="120" w:after="120"/>
                    <w:rPr>
                      <w:rFonts w:ascii="Arial" w:hAnsi="Arial" w:cs="Arial"/>
                      <w:b/>
                    </w:rPr>
                  </w:pPr>
                  <w:r w:rsidRPr="00805611">
                    <w:rPr>
                      <w:rFonts w:ascii="Arial" w:hAnsi="Arial" w:cs="Arial"/>
                      <w:b/>
                    </w:rPr>
                    <w:t>Code of Practice number</w:t>
                  </w:r>
                </w:p>
              </w:tc>
              <w:tc>
                <w:tcPr>
                  <w:tcW w:w="2629" w:type="pct"/>
                  <w:vAlign w:val="center"/>
                  <w:hideMark/>
                </w:tcPr>
                <w:p w14:paraId="46908C68" w14:textId="0770E42A" w:rsidR="00AF57E6" w:rsidRPr="00805611" w:rsidRDefault="009F0E7F" w:rsidP="00CE6CA4">
                  <w:pPr>
                    <w:pStyle w:val="NoSpacing"/>
                    <w:spacing w:before="120" w:after="120"/>
                    <w:rPr>
                      <w:rFonts w:ascii="Arial" w:hAnsi="Arial" w:cs="Arial"/>
                    </w:rPr>
                  </w:pPr>
                  <w:r>
                    <w:rPr>
                      <w:rFonts w:ascii="Arial" w:hAnsi="Arial" w:cs="Arial"/>
                    </w:rPr>
                    <w:t>LT CoP11</w:t>
                  </w:r>
                </w:p>
              </w:tc>
            </w:tr>
            <w:tr w:rsidR="00AF57E6" w:rsidRPr="004C4556" w14:paraId="61480795" w14:textId="77777777" w:rsidTr="00805611">
              <w:trPr>
                <w:trHeight w:val="397"/>
              </w:trPr>
              <w:tc>
                <w:tcPr>
                  <w:tcW w:w="2371" w:type="pct"/>
                  <w:vAlign w:val="center"/>
                </w:tcPr>
                <w:p w14:paraId="3DB07CBF" w14:textId="77777777" w:rsidR="00AF57E6" w:rsidRPr="00805611" w:rsidRDefault="00AF57E6" w:rsidP="00AF57E6">
                  <w:pPr>
                    <w:pStyle w:val="NoSpacing"/>
                    <w:spacing w:before="120" w:after="120"/>
                    <w:rPr>
                      <w:rFonts w:ascii="Arial" w:hAnsi="Arial" w:cs="Arial"/>
                      <w:b/>
                    </w:rPr>
                  </w:pPr>
                  <w:r w:rsidRPr="00805611">
                    <w:rPr>
                      <w:rFonts w:ascii="Arial" w:hAnsi="Arial" w:cs="Arial"/>
                      <w:b/>
                    </w:rPr>
                    <w:t>Version:</w:t>
                  </w:r>
                </w:p>
              </w:tc>
              <w:tc>
                <w:tcPr>
                  <w:tcW w:w="2629" w:type="pct"/>
                  <w:vAlign w:val="center"/>
                </w:tcPr>
                <w:p w14:paraId="36AE8C45" w14:textId="09CAC33B" w:rsidR="00AF57E6" w:rsidRPr="00805611" w:rsidRDefault="001E1DB4" w:rsidP="00AF57E6">
                  <w:pPr>
                    <w:pStyle w:val="NoSpacing"/>
                    <w:spacing w:before="120" w:after="120"/>
                    <w:rPr>
                      <w:rFonts w:ascii="Arial" w:hAnsi="Arial" w:cs="Arial"/>
                    </w:rPr>
                  </w:pPr>
                  <w:r>
                    <w:rPr>
                      <w:rFonts w:ascii="Arial" w:hAnsi="Arial" w:cs="Arial"/>
                    </w:rPr>
                    <w:t>2.0</w:t>
                  </w:r>
                </w:p>
              </w:tc>
            </w:tr>
            <w:tr w:rsidR="00AF57E6" w:rsidRPr="004C4556" w14:paraId="1FB87DBD" w14:textId="77777777" w:rsidTr="00805611">
              <w:trPr>
                <w:trHeight w:val="397"/>
              </w:trPr>
              <w:tc>
                <w:tcPr>
                  <w:tcW w:w="2371" w:type="pct"/>
                  <w:vAlign w:val="center"/>
                </w:tcPr>
                <w:p w14:paraId="2357DB23" w14:textId="77777777" w:rsidR="00AF57E6" w:rsidRPr="00805611" w:rsidRDefault="00AF57E6" w:rsidP="00AF57E6">
                  <w:pPr>
                    <w:pStyle w:val="NoSpacing"/>
                    <w:spacing w:before="120" w:after="120"/>
                    <w:rPr>
                      <w:rFonts w:ascii="Arial" w:hAnsi="Arial" w:cs="Arial"/>
                      <w:b/>
                    </w:rPr>
                  </w:pPr>
                  <w:r w:rsidRPr="00805611">
                    <w:rPr>
                      <w:rFonts w:ascii="Arial" w:hAnsi="Arial" w:cs="Arial"/>
                      <w:b/>
                      <w:bCs/>
                      <w:lang w:eastAsia="en-GB"/>
                    </w:rPr>
                    <w:t>Superseded Version:</w:t>
                  </w:r>
                </w:p>
              </w:tc>
              <w:tc>
                <w:tcPr>
                  <w:tcW w:w="2629" w:type="pct"/>
                  <w:vAlign w:val="center"/>
                </w:tcPr>
                <w:p w14:paraId="7C7E98CA" w14:textId="657AD09D" w:rsidR="00AF57E6" w:rsidRPr="00805611" w:rsidRDefault="00214709" w:rsidP="001E1DB4">
                  <w:pPr>
                    <w:pStyle w:val="NoSpacing"/>
                    <w:spacing w:before="120" w:after="120"/>
                    <w:rPr>
                      <w:rFonts w:ascii="Arial" w:hAnsi="Arial" w:cs="Arial"/>
                    </w:rPr>
                  </w:pPr>
                  <w:r>
                    <w:rPr>
                      <w:rFonts w:ascii="Arial" w:hAnsi="Arial" w:cs="Arial"/>
                    </w:rPr>
                    <w:t>1.</w:t>
                  </w:r>
                  <w:r w:rsidR="001E1DB4">
                    <w:rPr>
                      <w:rFonts w:ascii="Arial" w:hAnsi="Arial" w:cs="Arial"/>
                    </w:rPr>
                    <w:t>2</w:t>
                  </w:r>
                </w:p>
              </w:tc>
            </w:tr>
            <w:tr w:rsidR="00AF57E6" w:rsidRPr="004C4556" w14:paraId="1665E9D4" w14:textId="77777777" w:rsidTr="00805611">
              <w:trPr>
                <w:trHeight w:val="397"/>
              </w:trPr>
              <w:tc>
                <w:tcPr>
                  <w:tcW w:w="2371" w:type="pct"/>
                  <w:vAlign w:val="center"/>
                </w:tcPr>
                <w:p w14:paraId="03BC74FC" w14:textId="77777777" w:rsidR="00AF57E6" w:rsidRPr="00805611" w:rsidRDefault="00AF57E6" w:rsidP="00AF57E6">
                  <w:pPr>
                    <w:pStyle w:val="NoSpacing"/>
                    <w:spacing w:before="120" w:after="120"/>
                    <w:rPr>
                      <w:rFonts w:ascii="Arial" w:hAnsi="Arial" w:cs="Arial"/>
                      <w:b/>
                    </w:rPr>
                  </w:pPr>
                  <w:r w:rsidRPr="00805611">
                    <w:rPr>
                      <w:rFonts w:ascii="Arial" w:hAnsi="Arial" w:cs="Arial"/>
                      <w:b/>
                    </w:rPr>
                    <w:t>Date approved by Management Committee</w:t>
                  </w:r>
                </w:p>
              </w:tc>
              <w:tc>
                <w:tcPr>
                  <w:tcW w:w="2629" w:type="pct"/>
                  <w:vAlign w:val="center"/>
                </w:tcPr>
                <w:p w14:paraId="6FE0994C" w14:textId="0BF2BEA5" w:rsidR="00AF57E6" w:rsidRPr="00805611" w:rsidRDefault="009F0E7F" w:rsidP="00AF57E6">
                  <w:pPr>
                    <w:pStyle w:val="NoSpacing"/>
                    <w:spacing w:before="120" w:after="120"/>
                    <w:rPr>
                      <w:rFonts w:ascii="Arial" w:hAnsi="Arial" w:cs="Arial"/>
                    </w:rPr>
                  </w:pPr>
                  <w:r>
                    <w:rPr>
                      <w:rFonts w:ascii="Arial" w:hAnsi="Arial" w:cs="Arial"/>
                    </w:rPr>
                    <w:t xml:space="preserve">V 1.0 approved 28.01.15 </w:t>
                  </w:r>
                </w:p>
              </w:tc>
            </w:tr>
            <w:tr w:rsidR="00AF57E6" w:rsidRPr="004C4556" w14:paraId="1EA55901" w14:textId="77777777" w:rsidTr="00805611">
              <w:trPr>
                <w:trHeight w:val="397"/>
              </w:trPr>
              <w:tc>
                <w:tcPr>
                  <w:tcW w:w="2371" w:type="pct"/>
                  <w:vAlign w:val="center"/>
                </w:tcPr>
                <w:p w14:paraId="5EC82F2C" w14:textId="77777777" w:rsidR="00AF57E6" w:rsidRPr="00805611" w:rsidRDefault="00AF57E6" w:rsidP="00AF57E6">
                  <w:pPr>
                    <w:pStyle w:val="NoSpacing"/>
                    <w:spacing w:before="120" w:after="120"/>
                    <w:rPr>
                      <w:rFonts w:ascii="Arial" w:hAnsi="Arial" w:cs="Arial"/>
                      <w:b/>
                      <w:bCs/>
                      <w:lang w:eastAsia="en-GB"/>
                    </w:rPr>
                  </w:pPr>
                  <w:r w:rsidRPr="00805611">
                    <w:rPr>
                      <w:rFonts w:ascii="Arial" w:hAnsi="Arial" w:cs="Arial"/>
                      <w:b/>
                      <w:bCs/>
                      <w:lang w:eastAsia="en-GB"/>
                    </w:rPr>
                    <w:t>Originator</w:t>
                  </w:r>
                </w:p>
              </w:tc>
              <w:tc>
                <w:tcPr>
                  <w:tcW w:w="2629" w:type="pct"/>
                  <w:vAlign w:val="center"/>
                </w:tcPr>
                <w:p w14:paraId="40C69DED" w14:textId="77777777" w:rsidR="00AF57E6" w:rsidRPr="00805611" w:rsidRDefault="00AF57E6" w:rsidP="00AF57E6">
                  <w:pPr>
                    <w:pStyle w:val="NoSpacing"/>
                    <w:spacing w:before="120" w:after="120"/>
                    <w:rPr>
                      <w:rFonts w:ascii="Arial" w:hAnsi="Arial" w:cs="Arial"/>
                    </w:rPr>
                  </w:pPr>
                  <w:r w:rsidRPr="00805611">
                    <w:rPr>
                      <w:rFonts w:ascii="Arial" w:hAnsi="Arial" w:cs="Arial"/>
                    </w:rPr>
                    <w:t>Academic Registrar</w:t>
                  </w:r>
                </w:p>
              </w:tc>
            </w:tr>
            <w:tr w:rsidR="00AF57E6" w:rsidRPr="004C4556" w14:paraId="5A317892" w14:textId="77777777" w:rsidTr="00805611">
              <w:trPr>
                <w:trHeight w:val="397"/>
              </w:trPr>
              <w:tc>
                <w:tcPr>
                  <w:tcW w:w="2371" w:type="pct"/>
                  <w:vAlign w:val="center"/>
                </w:tcPr>
                <w:p w14:paraId="48542EEA" w14:textId="77777777" w:rsidR="00AF57E6" w:rsidRPr="00805611" w:rsidRDefault="00AF57E6" w:rsidP="00AF57E6">
                  <w:pPr>
                    <w:pStyle w:val="NoSpacing"/>
                    <w:spacing w:before="120" w:after="120"/>
                    <w:rPr>
                      <w:rFonts w:ascii="Arial" w:hAnsi="Arial" w:cs="Arial"/>
                      <w:b/>
                    </w:rPr>
                  </w:pPr>
                  <w:r w:rsidRPr="00805611">
                    <w:rPr>
                      <w:rFonts w:ascii="Arial" w:hAnsi="Arial" w:cs="Arial"/>
                      <w:b/>
                    </w:rPr>
                    <w:t>Date for Review:</w:t>
                  </w:r>
                </w:p>
              </w:tc>
              <w:tc>
                <w:tcPr>
                  <w:tcW w:w="2629" w:type="pct"/>
                  <w:vAlign w:val="center"/>
                </w:tcPr>
                <w:p w14:paraId="60989FA5" w14:textId="2504EF9F" w:rsidR="00AF57E6" w:rsidRPr="00805611" w:rsidRDefault="006B6C40" w:rsidP="001E1DB4">
                  <w:pPr>
                    <w:pStyle w:val="NoSpacing"/>
                    <w:spacing w:before="120" w:after="120"/>
                    <w:rPr>
                      <w:rFonts w:ascii="Arial" w:hAnsi="Arial" w:cs="Arial"/>
                    </w:rPr>
                  </w:pPr>
                  <w:r>
                    <w:rPr>
                      <w:rFonts w:ascii="Arial" w:hAnsi="Arial" w:cs="Arial"/>
                    </w:rPr>
                    <w:t>July</w:t>
                  </w:r>
                  <w:r w:rsidR="00225691">
                    <w:rPr>
                      <w:rFonts w:ascii="Arial" w:hAnsi="Arial" w:cs="Arial"/>
                    </w:rPr>
                    <w:t xml:space="preserve"> 201</w:t>
                  </w:r>
                  <w:r w:rsidR="005F4A3A">
                    <w:rPr>
                      <w:rFonts w:ascii="Arial" w:hAnsi="Arial" w:cs="Arial"/>
                    </w:rPr>
                    <w:t>9</w:t>
                  </w:r>
                </w:p>
              </w:tc>
            </w:tr>
          </w:tbl>
          <w:p w14:paraId="36EB6E01" w14:textId="77777777" w:rsidR="00ED4A53" w:rsidRPr="004C4556" w:rsidRDefault="00ED4A53" w:rsidP="00CA5861">
            <w:pPr>
              <w:pStyle w:val="NoSpacing"/>
              <w:ind w:right="-166"/>
              <w:jc w:val="center"/>
              <w:rPr>
                <w:rFonts w:ascii="Arial" w:hAnsi="Arial" w:cs="Arial"/>
                <w:b/>
                <w:bCs/>
              </w:rPr>
            </w:pPr>
          </w:p>
        </w:tc>
      </w:tr>
      <w:tr w:rsidR="00ED4A53" w14:paraId="3F023658" w14:textId="77777777" w:rsidTr="00805611">
        <w:trPr>
          <w:trHeight w:val="3245"/>
          <w:jc w:val="center"/>
        </w:trPr>
        <w:tc>
          <w:tcPr>
            <w:tcW w:w="5000" w:type="pct"/>
            <w:tcBorders>
              <w:top w:val="single" w:sz="6" w:space="0" w:color="943634" w:themeColor="accent2" w:themeShade="BF"/>
              <w:bottom w:val="single" w:sz="6" w:space="0" w:color="943634" w:themeColor="accent2" w:themeShade="BF"/>
            </w:tcBorders>
          </w:tcPr>
          <w:tbl>
            <w:tblPr>
              <w:tblpPr w:leftFromText="181" w:rightFromText="181" w:vertAnchor="page" w:horzAnchor="margin" w:tblpY="181"/>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279"/>
              <w:gridCol w:w="4745"/>
            </w:tblGrid>
            <w:tr w:rsidR="00805611" w:rsidRPr="00853D2A" w14:paraId="46E20B66" w14:textId="77777777" w:rsidTr="00805611">
              <w:trPr>
                <w:trHeight w:val="397"/>
              </w:trPr>
              <w:tc>
                <w:tcPr>
                  <w:tcW w:w="5000" w:type="pct"/>
                  <w:gridSpan w:val="2"/>
                  <w:shd w:val="clear" w:color="auto" w:fill="E5B8B7" w:themeFill="accent2" w:themeFillTint="66"/>
                  <w:vAlign w:val="center"/>
                  <w:hideMark/>
                </w:tcPr>
                <w:p w14:paraId="5B3978F4" w14:textId="77777777" w:rsidR="00805611" w:rsidRPr="00805611" w:rsidRDefault="00805611" w:rsidP="00805611">
                  <w:pPr>
                    <w:pStyle w:val="NoSpacing"/>
                    <w:spacing w:before="120" w:after="120"/>
                    <w:rPr>
                      <w:rFonts w:ascii="Arial" w:hAnsi="Arial" w:cs="Arial"/>
                      <w:b/>
                      <w:sz w:val="24"/>
                      <w:szCs w:val="24"/>
                    </w:rPr>
                  </w:pPr>
                  <w:r w:rsidRPr="00805611">
                    <w:rPr>
                      <w:rFonts w:ascii="Arial" w:hAnsi="Arial" w:cs="Arial"/>
                      <w:b/>
                      <w:sz w:val="24"/>
                      <w:szCs w:val="24"/>
                    </w:rPr>
                    <w:t>Target Audience</w:t>
                  </w:r>
                </w:p>
              </w:tc>
            </w:tr>
            <w:tr w:rsidR="00805611" w:rsidRPr="00853D2A" w14:paraId="0A76F168" w14:textId="77777777" w:rsidTr="00805611">
              <w:trPr>
                <w:trHeight w:val="397"/>
              </w:trPr>
              <w:tc>
                <w:tcPr>
                  <w:tcW w:w="2371" w:type="pct"/>
                  <w:vAlign w:val="center"/>
                </w:tcPr>
                <w:p w14:paraId="68DC166D" w14:textId="720656A0" w:rsidR="00805611" w:rsidRPr="00805611" w:rsidRDefault="00805611" w:rsidP="009F0E7F">
                  <w:pPr>
                    <w:pStyle w:val="NoSpacing"/>
                    <w:spacing w:before="120" w:after="120"/>
                    <w:rPr>
                      <w:rFonts w:ascii="Arial" w:hAnsi="Arial" w:cs="Arial"/>
                    </w:rPr>
                  </w:pPr>
                  <w:r w:rsidRPr="00805611">
                    <w:rPr>
                      <w:rFonts w:ascii="Arial" w:hAnsi="Arial" w:cs="Arial"/>
                    </w:rPr>
                    <w:t xml:space="preserve">People who need </w:t>
                  </w:r>
                  <w:r>
                    <w:rPr>
                      <w:rFonts w:ascii="Arial" w:hAnsi="Arial" w:cs="Arial"/>
                    </w:rPr>
                    <w:t>a detailed knowledge of the C</w:t>
                  </w:r>
                  <w:r w:rsidR="009F0E7F">
                    <w:rPr>
                      <w:rFonts w:ascii="Arial" w:hAnsi="Arial" w:cs="Arial"/>
                    </w:rPr>
                    <w:t xml:space="preserve">ode </w:t>
                  </w:r>
                  <w:r>
                    <w:rPr>
                      <w:rFonts w:ascii="Arial" w:hAnsi="Arial" w:cs="Arial"/>
                    </w:rPr>
                    <w:t>o</w:t>
                  </w:r>
                  <w:r w:rsidR="009F0E7F">
                    <w:rPr>
                      <w:rFonts w:ascii="Arial" w:hAnsi="Arial" w:cs="Arial"/>
                    </w:rPr>
                    <w:t>f Practice</w:t>
                  </w:r>
                </w:p>
              </w:tc>
              <w:tc>
                <w:tcPr>
                  <w:tcW w:w="2629" w:type="pct"/>
                  <w:vAlign w:val="center"/>
                </w:tcPr>
                <w:p w14:paraId="5E5553A6" w14:textId="35E56F2C" w:rsidR="00805611" w:rsidRPr="00805611" w:rsidRDefault="00DA0D7D" w:rsidP="009F0E7F">
                  <w:pPr>
                    <w:pStyle w:val="NoSpacing"/>
                    <w:spacing w:before="120" w:after="120"/>
                    <w:rPr>
                      <w:rFonts w:ascii="Arial" w:hAnsi="Arial" w:cs="Arial"/>
                    </w:rPr>
                  </w:pPr>
                  <w:r>
                    <w:rPr>
                      <w:rFonts w:ascii="Arial" w:hAnsi="Arial" w:cs="Arial"/>
                    </w:rPr>
                    <w:t>D</w:t>
                  </w:r>
                  <w:r w:rsidR="00E155F1">
                    <w:rPr>
                      <w:rFonts w:ascii="Arial" w:hAnsi="Arial" w:cs="Arial"/>
                    </w:rPr>
                    <w:t>ean</w:t>
                  </w:r>
                  <w:r w:rsidR="009F0E7F">
                    <w:rPr>
                      <w:rFonts w:ascii="Arial" w:hAnsi="Arial" w:cs="Arial"/>
                    </w:rPr>
                    <w:t xml:space="preserve"> of Education; </w:t>
                  </w:r>
                  <w:r>
                    <w:rPr>
                      <w:rFonts w:ascii="Arial" w:hAnsi="Arial" w:cs="Arial"/>
                    </w:rPr>
                    <w:t>Directors of Studies</w:t>
                  </w:r>
                  <w:r w:rsidR="009F0E7F">
                    <w:rPr>
                      <w:rFonts w:ascii="Arial" w:hAnsi="Arial" w:cs="Arial"/>
                    </w:rPr>
                    <w:t xml:space="preserve">; </w:t>
                  </w:r>
                  <w:r>
                    <w:rPr>
                      <w:rFonts w:ascii="Arial" w:hAnsi="Arial" w:cs="Arial"/>
                    </w:rPr>
                    <w:t>Academic Registrar</w:t>
                  </w:r>
                </w:p>
              </w:tc>
            </w:tr>
            <w:tr w:rsidR="00805611" w:rsidRPr="00853D2A" w14:paraId="03938554" w14:textId="77777777" w:rsidTr="00805611">
              <w:trPr>
                <w:trHeight w:val="397"/>
              </w:trPr>
              <w:tc>
                <w:tcPr>
                  <w:tcW w:w="2371" w:type="pct"/>
                  <w:vAlign w:val="center"/>
                </w:tcPr>
                <w:p w14:paraId="1017DE0E" w14:textId="2C5BD2AD"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a broad understanding of </w:t>
                  </w:r>
                  <w:r>
                    <w:rPr>
                      <w:rFonts w:ascii="Arial" w:hAnsi="Arial" w:cs="Arial"/>
                    </w:rPr>
                    <w:t xml:space="preserve">the </w:t>
                  </w:r>
                  <w:r w:rsidR="009F0E7F">
                    <w:rPr>
                      <w:rFonts w:ascii="Arial" w:hAnsi="Arial" w:cs="Arial"/>
                    </w:rPr>
                    <w:t>Code of Practice</w:t>
                  </w:r>
                </w:p>
              </w:tc>
              <w:tc>
                <w:tcPr>
                  <w:tcW w:w="2629" w:type="pct"/>
                  <w:vAlign w:val="center"/>
                </w:tcPr>
                <w:p w14:paraId="7EAE6632" w14:textId="27A0BB82" w:rsidR="00805611" w:rsidRPr="00805611" w:rsidRDefault="00DA0D7D" w:rsidP="009F0E7F">
                  <w:pPr>
                    <w:pStyle w:val="NoSpacing"/>
                    <w:spacing w:before="120" w:after="120"/>
                    <w:rPr>
                      <w:rFonts w:ascii="Arial" w:hAnsi="Arial" w:cs="Arial"/>
                    </w:rPr>
                  </w:pPr>
                  <w:r>
                    <w:rPr>
                      <w:rFonts w:ascii="Arial" w:hAnsi="Arial" w:cs="Arial"/>
                    </w:rPr>
                    <w:t>Students</w:t>
                  </w:r>
                  <w:r w:rsidR="009F0E7F">
                    <w:rPr>
                      <w:rFonts w:ascii="Arial" w:hAnsi="Arial" w:cs="Arial"/>
                    </w:rPr>
                    <w:t>; A</w:t>
                  </w:r>
                  <w:r w:rsidR="0012360C">
                    <w:rPr>
                      <w:rFonts w:ascii="Arial" w:hAnsi="Arial" w:cs="Arial"/>
                    </w:rPr>
                    <w:t>dministrative staff in the Education Department</w:t>
                  </w:r>
                  <w:r w:rsidR="009F0E7F">
                    <w:rPr>
                      <w:rFonts w:ascii="Arial" w:hAnsi="Arial" w:cs="Arial"/>
                    </w:rPr>
                    <w:t>; MSc Module Convenors; MSc Personal T</w:t>
                  </w:r>
                  <w:r w:rsidR="0012360C">
                    <w:rPr>
                      <w:rFonts w:ascii="Arial" w:hAnsi="Arial" w:cs="Arial"/>
                    </w:rPr>
                    <w:t>utors</w:t>
                  </w:r>
                  <w:r w:rsidR="009F0E7F">
                    <w:rPr>
                      <w:rFonts w:ascii="Arial" w:hAnsi="Arial" w:cs="Arial"/>
                    </w:rPr>
                    <w:t>; External E</w:t>
                  </w:r>
                  <w:r w:rsidR="00A11EF2">
                    <w:rPr>
                      <w:rFonts w:ascii="Arial" w:hAnsi="Arial" w:cs="Arial"/>
                    </w:rPr>
                    <w:t>xaminers</w:t>
                  </w:r>
                </w:p>
              </w:tc>
            </w:tr>
            <w:tr w:rsidR="00805611" w:rsidRPr="00853D2A" w14:paraId="7F736043" w14:textId="77777777" w:rsidTr="00805611">
              <w:trPr>
                <w:trHeight w:val="397"/>
              </w:trPr>
              <w:tc>
                <w:tcPr>
                  <w:tcW w:w="2371" w:type="pct"/>
                  <w:vAlign w:val="center"/>
                </w:tcPr>
                <w:p w14:paraId="4D6E900D" w14:textId="47151B9D" w:rsidR="00805611" w:rsidRPr="00805611" w:rsidRDefault="00805611" w:rsidP="00805611">
                  <w:pPr>
                    <w:pStyle w:val="NoSpacing"/>
                    <w:spacing w:before="120" w:after="120"/>
                    <w:rPr>
                      <w:rFonts w:ascii="Arial" w:hAnsi="Arial" w:cs="Arial"/>
                    </w:rPr>
                  </w:pPr>
                  <w:r w:rsidRPr="00805611">
                    <w:rPr>
                      <w:rFonts w:ascii="Arial" w:hAnsi="Arial" w:cs="Arial"/>
                    </w:rPr>
                    <w:t xml:space="preserve">People who need to know that </w:t>
                  </w:r>
                  <w:r>
                    <w:rPr>
                      <w:rFonts w:ascii="Arial" w:hAnsi="Arial" w:cs="Arial"/>
                    </w:rPr>
                    <w:t xml:space="preserve">the </w:t>
                  </w:r>
                  <w:r w:rsidR="009F0E7F">
                    <w:rPr>
                      <w:rFonts w:ascii="Arial" w:hAnsi="Arial" w:cs="Arial"/>
                    </w:rPr>
                    <w:t xml:space="preserve">Code of Practice </w:t>
                  </w:r>
                  <w:r w:rsidRPr="00805611">
                    <w:rPr>
                      <w:rFonts w:ascii="Arial" w:hAnsi="Arial" w:cs="Arial"/>
                    </w:rPr>
                    <w:t>exists</w:t>
                  </w:r>
                </w:p>
              </w:tc>
              <w:tc>
                <w:tcPr>
                  <w:tcW w:w="2629" w:type="pct"/>
                  <w:vAlign w:val="center"/>
                </w:tcPr>
                <w:p w14:paraId="259926D4" w14:textId="5AEB8943" w:rsidR="00805611" w:rsidRPr="00805611" w:rsidRDefault="0012360C" w:rsidP="0012360C">
                  <w:pPr>
                    <w:pStyle w:val="NoSpacing"/>
                    <w:spacing w:before="120" w:after="120"/>
                    <w:rPr>
                      <w:rFonts w:ascii="Arial" w:hAnsi="Arial" w:cs="Arial"/>
                    </w:rPr>
                  </w:pPr>
                  <w:r>
                    <w:rPr>
                      <w:rFonts w:ascii="Arial" w:hAnsi="Arial" w:cs="Arial"/>
                    </w:rPr>
                    <w:t>All academic staff</w:t>
                  </w:r>
                </w:p>
              </w:tc>
            </w:tr>
          </w:tbl>
          <w:p w14:paraId="0840F4F6" w14:textId="77777777" w:rsidR="00805611" w:rsidRPr="00853D2A" w:rsidRDefault="00805611" w:rsidP="00805611">
            <w:pPr>
              <w:pStyle w:val="NoSpacing"/>
              <w:rPr>
                <w:rFonts w:ascii="Arial" w:hAnsi="Arial" w:cs="Arial"/>
                <w:sz w:val="20"/>
              </w:rPr>
            </w:pPr>
          </w:p>
        </w:tc>
      </w:tr>
    </w:tbl>
    <w:p w14:paraId="52EB918E" w14:textId="77777777" w:rsidR="00876075" w:rsidRPr="00876075" w:rsidRDefault="00ED4A53" w:rsidP="00E21955">
      <w:pPr>
        <w:pStyle w:val="HeadingListStyle"/>
        <w:keepNext/>
        <w:numPr>
          <w:ilvl w:val="0"/>
          <w:numId w:val="0"/>
        </w:numPr>
        <w:pBdr>
          <w:top w:val="single" w:sz="4" w:space="9" w:color="943634" w:themeColor="accent2" w:themeShade="BF"/>
          <w:bottom w:val="single" w:sz="4" w:space="9" w:color="943634" w:themeColor="accent2" w:themeShade="BF"/>
        </w:pBdr>
        <w:spacing w:before="360" w:line="276" w:lineRule="auto"/>
        <w:contextualSpacing w:val="0"/>
        <w:rPr>
          <w:color w:val="943634" w:themeColor="accent2" w:themeShade="BF"/>
          <w:sz w:val="32"/>
          <w:szCs w:val="32"/>
          <w:u w:val="none"/>
        </w:rPr>
      </w:pPr>
      <w:r>
        <w:br w:type="page"/>
      </w:r>
      <w:r w:rsidRPr="00876075">
        <w:rPr>
          <w:color w:val="943634" w:themeColor="accent2" w:themeShade="BF"/>
          <w:sz w:val="32"/>
          <w:szCs w:val="32"/>
          <w:u w:val="none"/>
        </w:rPr>
        <w:lastRenderedPageBreak/>
        <w:t>Contents</w:t>
      </w:r>
    </w:p>
    <w:p w14:paraId="3DD5D668" w14:textId="7799DB1E" w:rsidR="005A68E5" w:rsidRDefault="00876075">
      <w:pPr>
        <w:pStyle w:val="TOC1"/>
        <w:rPr>
          <w:rFonts w:asciiTheme="minorHAnsi" w:hAnsiTheme="minorHAnsi" w:cstheme="minorBidi"/>
          <w:bCs w:val="0"/>
          <w:sz w:val="22"/>
          <w:szCs w:val="22"/>
        </w:rPr>
      </w:pPr>
      <w:r w:rsidRPr="00846FB2">
        <w:rPr>
          <w:color w:val="943634" w:themeColor="accent2" w:themeShade="BF"/>
        </w:rPr>
        <w:fldChar w:fldCharType="begin"/>
      </w:r>
      <w:r w:rsidRPr="00846FB2">
        <w:rPr>
          <w:color w:val="943634" w:themeColor="accent2" w:themeShade="BF"/>
        </w:rPr>
        <w:instrText xml:space="preserve"> TOC \p " " \h \z \t "CoP border heading,1" </w:instrText>
      </w:r>
      <w:r w:rsidRPr="00846FB2">
        <w:rPr>
          <w:color w:val="943634" w:themeColor="accent2" w:themeShade="BF"/>
        </w:rPr>
        <w:fldChar w:fldCharType="separate"/>
      </w:r>
      <w:hyperlink w:anchor="_Toc426474149" w:history="1">
        <w:r w:rsidR="005A68E5" w:rsidRPr="00E10B4B">
          <w:rPr>
            <w:rStyle w:val="Hyperlink"/>
          </w:rPr>
          <w:t>1</w:t>
        </w:r>
        <w:r w:rsidR="005A68E5">
          <w:rPr>
            <w:rFonts w:asciiTheme="minorHAnsi" w:hAnsiTheme="minorHAnsi" w:cstheme="minorBidi"/>
            <w:bCs w:val="0"/>
            <w:sz w:val="22"/>
            <w:szCs w:val="22"/>
          </w:rPr>
          <w:tab/>
        </w:r>
        <w:r w:rsidR="005A68E5" w:rsidRPr="00E10B4B">
          <w:rPr>
            <w:rStyle w:val="Hyperlink"/>
          </w:rPr>
          <w:t>Introduction and Context</w:t>
        </w:r>
        <w:r w:rsidR="005A68E5">
          <w:rPr>
            <w:webHidden/>
          </w:rPr>
          <w:t xml:space="preserve"> </w:t>
        </w:r>
        <w:r w:rsidR="005A68E5">
          <w:rPr>
            <w:webHidden/>
          </w:rPr>
          <w:tab/>
        </w:r>
        <w:r w:rsidR="005A68E5">
          <w:rPr>
            <w:webHidden/>
          </w:rPr>
          <w:fldChar w:fldCharType="begin"/>
        </w:r>
        <w:r w:rsidR="005A68E5">
          <w:rPr>
            <w:webHidden/>
          </w:rPr>
          <w:instrText xml:space="preserve"> PAGEREF _Toc426474149 \h </w:instrText>
        </w:r>
        <w:r w:rsidR="005A68E5">
          <w:rPr>
            <w:webHidden/>
          </w:rPr>
        </w:r>
        <w:r w:rsidR="005A68E5">
          <w:rPr>
            <w:webHidden/>
          </w:rPr>
          <w:fldChar w:fldCharType="separate"/>
        </w:r>
        <w:r w:rsidR="00B64AAD">
          <w:rPr>
            <w:webHidden/>
          </w:rPr>
          <w:t>3</w:t>
        </w:r>
        <w:r w:rsidR="005A68E5">
          <w:rPr>
            <w:webHidden/>
          </w:rPr>
          <w:fldChar w:fldCharType="end"/>
        </w:r>
      </w:hyperlink>
    </w:p>
    <w:p w14:paraId="4F8F2035" w14:textId="13AFCA57" w:rsidR="005A68E5" w:rsidRDefault="005F4A3A">
      <w:pPr>
        <w:pStyle w:val="TOC1"/>
        <w:rPr>
          <w:rFonts w:asciiTheme="minorHAnsi" w:hAnsiTheme="minorHAnsi" w:cstheme="minorBidi"/>
          <w:bCs w:val="0"/>
          <w:sz w:val="22"/>
          <w:szCs w:val="22"/>
        </w:rPr>
      </w:pPr>
      <w:hyperlink w:anchor="_Toc426474150" w:history="1">
        <w:r w:rsidR="005A68E5" w:rsidRPr="00E10B4B">
          <w:rPr>
            <w:rStyle w:val="Hyperlink"/>
          </w:rPr>
          <w:t>2</w:t>
        </w:r>
        <w:r w:rsidR="005A68E5">
          <w:rPr>
            <w:rFonts w:asciiTheme="minorHAnsi" w:hAnsiTheme="minorHAnsi" w:cstheme="minorBidi"/>
            <w:bCs w:val="0"/>
            <w:sz w:val="22"/>
            <w:szCs w:val="22"/>
          </w:rPr>
          <w:tab/>
        </w:r>
        <w:r w:rsidR="005A68E5" w:rsidRPr="00E10B4B">
          <w:rPr>
            <w:rStyle w:val="Hyperlink"/>
          </w:rPr>
          <w:t>Scope</w:t>
        </w:r>
        <w:r w:rsidR="005A68E5">
          <w:rPr>
            <w:webHidden/>
          </w:rPr>
          <w:t xml:space="preserve"> </w:t>
        </w:r>
        <w:r w:rsidR="005A68E5">
          <w:rPr>
            <w:webHidden/>
          </w:rPr>
          <w:tab/>
        </w:r>
        <w:r w:rsidR="005A68E5">
          <w:rPr>
            <w:webHidden/>
          </w:rPr>
          <w:fldChar w:fldCharType="begin"/>
        </w:r>
        <w:r w:rsidR="005A68E5">
          <w:rPr>
            <w:webHidden/>
          </w:rPr>
          <w:instrText xml:space="preserve"> PAGEREF _Toc426474150 \h </w:instrText>
        </w:r>
        <w:r w:rsidR="005A68E5">
          <w:rPr>
            <w:webHidden/>
          </w:rPr>
        </w:r>
        <w:r w:rsidR="005A68E5">
          <w:rPr>
            <w:webHidden/>
          </w:rPr>
          <w:fldChar w:fldCharType="separate"/>
        </w:r>
        <w:r w:rsidR="00B64AAD">
          <w:rPr>
            <w:webHidden/>
          </w:rPr>
          <w:t>3</w:t>
        </w:r>
        <w:r w:rsidR="005A68E5">
          <w:rPr>
            <w:webHidden/>
          </w:rPr>
          <w:fldChar w:fldCharType="end"/>
        </w:r>
      </w:hyperlink>
    </w:p>
    <w:p w14:paraId="40D37595" w14:textId="39E40BB0" w:rsidR="005A68E5" w:rsidRDefault="005F4A3A">
      <w:pPr>
        <w:pStyle w:val="TOC1"/>
        <w:rPr>
          <w:rFonts w:asciiTheme="minorHAnsi" w:hAnsiTheme="minorHAnsi" w:cstheme="minorBidi"/>
          <w:bCs w:val="0"/>
          <w:sz w:val="22"/>
          <w:szCs w:val="22"/>
        </w:rPr>
      </w:pPr>
      <w:hyperlink w:anchor="_Toc426474151" w:history="1">
        <w:r w:rsidR="005A68E5" w:rsidRPr="00E10B4B">
          <w:rPr>
            <w:rStyle w:val="Hyperlink"/>
          </w:rPr>
          <w:t>3</w:t>
        </w:r>
        <w:r w:rsidR="005A68E5">
          <w:rPr>
            <w:rFonts w:asciiTheme="minorHAnsi" w:hAnsiTheme="minorHAnsi" w:cstheme="minorBidi"/>
            <w:bCs w:val="0"/>
            <w:sz w:val="22"/>
            <w:szCs w:val="22"/>
          </w:rPr>
          <w:tab/>
        </w:r>
        <w:r w:rsidR="005A68E5" w:rsidRPr="00E10B4B">
          <w:rPr>
            <w:rStyle w:val="Hyperlink"/>
          </w:rPr>
          <w:t>Roles and Responsibilities</w:t>
        </w:r>
        <w:r w:rsidR="005A68E5">
          <w:rPr>
            <w:webHidden/>
          </w:rPr>
          <w:t xml:space="preserve"> </w:t>
        </w:r>
        <w:r w:rsidR="005A68E5">
          <w:rPr>
            <w:webHidden/>
          </w:rPr>
          <w:tab/>
        </w:r>
        <w:r w:rsidR="005A68E5">
          <w:rPr>
            <w:webHidden/>
          </w:rPr>
          <w:fldChar w:fldCharType="begin"/>
        </w:r>
        <w:r w:rsidR="005A68E5">
          <w:rPr>
            <w:webHidden/>
          </w:rPr>
          <w:instrText xml:space="preserve"> PAGEREF _Toc426474151 \h </w:instrText>
        </w:r>
        <w:r w:rsidR="005A68E5">
          <w:rPr>
            <w:webHidden/>
          </w:rPr>
        </w:r>
        <w:r w:rsidR="005A68E5">
          <w:rPr>
            <w:webHidden/>
          </w:rPr>
          <w:fldChar w:fldCharType="separate"/>
        </w:r>
        <w:r w:rsidR="00B64AAD">
          <w:rPr>
            <w:webHidden/>
          </w:rPr>
          <w:t>3</w:t>
        </w:r>
        <w:r w:rsidR="005A68E5">
          <w:rPr>
            <w:webHidden/>
          </w:rPr>
          <w:fldChar w:fldCharType="end"/>
        </w:r>
      </w:hyperlink>
    </w:p>
    <w:p w14:paraId="0B52B74A" w14:textId="4F2EA5EC" w:rsidR="005A68E5" w:rsidRDefault="005F4A3A">
      <w:pPr>
        <w:pStyle w:val="TOC1"/>
        <w:rPr>
          <w:rFonts w:asciiTheme="minorHAnsi" w:hAnsiTheme="minorHAnsi" w:cstheme="minorBidi"/>
          <w:bCs w:val="0"/>
          <w:sz w:val="22"/>
          <w:szCs w:val="22"/>
        </w:rPr>
      </w:pPr>
      <w:hyperlink w:anchor="_Toc426474152" w:history="1">
        <w:r w:rsidR="005A68E5" w:rsidRPr="00E10B4B">
          <w:rPr>
            <w:rStyle w:val="Hyperlink"/>
          </w:rPr>
          <w:t>4</w:t>
        </w:r>
        <w:r w:rsidR="005A68E5">
          <w:rPr>
            <w:rFonts w:asciiTheme="minorHAnsi" w:hAnsiTheme="minorHAnsi" w:cstheme="minorBidi"/>
            <w:bCs w:val="0"/>
            <w:sz w:val="22"/>
            <w:szCs w:val="22"/>
          </w:rPr>
          <w:tab/>
        </w:r>
        <w:r w:rsidR="005A68E5" w:rsidRPr="00E10B4B">
          <w:rPr>
            <w:rStyle w:val="Hyperlink"/>
          </w:rPr>
          <w:t>Attendance and Progress in Studies</w:t>
        </w:r>
        <w:r w:rsidR="005A68E5">
          <w:rPr>
            <w:webHidden/>
          </w:rPr>
          <w:t xml:space="preserve"> </w:t>
        </w:r>
        <w:r w:rsidR="005A68E5">
          <w:rPr>
            <w:webHidden/>
          </w:rPr>
          <w:tab/>
        </w:r>
        <w:r w:rsidR="005A68E5">
          <w:rPr>
            <w:webHidden/>
          </w:rPr>
          <w:fldChar w:fldCharType="begin"/>
        </w:r>
        <w:r w:rsidR="005A68E5">
          <w:rPr>
            <w:webHidden/>
          </w:rPr>
          <w:instrText xml:space="preserve"> PAGEREF _Toc426474152 \h </w:instrText>
        </w:r>
        <w:r w:rsidR="005A68E5">
          <w:rPr>
            <w:webHidden/>
          </w:rPr>
        </w:r>
        <w:r w:rsidR="005A68E5">
          <w:rPr>
            <w:webHidden/>
          </w:rPr>
          <w:fldChar w:fldCharType="separate"/>
        </w:r>
        <w:r w:rsidR="00B64AAD">
          <w:rPr>
            <w:webHidden/>
          </w:rPr>
          <w:t>5</w:t>
        </w:r>
        <w:r w:rsidR="005A68E5">
          <w:rPr>
            <w:webHidden/>
          </w:rPr>
          <w:fldChar w:fldCharType="end"/>
        </w:r>
      </w:hyperlink>
    </w:p>
    <w:p w14:paraId="7F4E4368" w14:textId="5BC28FBE" w:rsidR="005A68E5" w:rsidRDefault="005F4A3A">
      <w:pPr>
        <w:pStyle w:val="TOC1"/>
        <w:rPr>
          <w:rFonts w:asciiTheme="minorHAnsi" w:hAnsiTheme="minorHAnsi" w:cstheme="minorBidi"/>
          <w:bCs w:val="0"/>
          <w:sz w:val="22"/>
          <w:szCs w:val="22"/>
        </w:rPr>
      </w:pPr>
      <w:hyperlink w:anchor="_Toc426474153" w:history="1">
        <w:r w:rsidR="005A68E5" w:rsidRPr="00E10B4B">
          <w:rPr>
            <w:rStyle w:val="Hyperlink"/>
          </w:rPr>
          <w:t>5</w:t>
        </w:r>
        <w:r w:rsidR="005A68E5">
          <w:rPr>
            <w:rFonts w:asciiTheme="minorHAnsi" w:hAnsiTheme="minorHAnsi" w:cstheme="minorBidi"/>
            <w:bCs w:val="0"/>
            <w:sz w:val="22"/>
            <w:szCs w:val="22"/>
          </w:rPr>
          <w:tab/>
        </w:r>
        <w:r w:rsidR="005A68E5" w:rsidRPr="00E10B4B">
          <w:rPr>
            <w:rStyle w:val="Hyperlink"/>
          </w:rPr>
          <w:t>Module Review Boards</w:t>
        </w:r>
        <w:r w:rsidR="005A68E5">
          <w:rPr>
            <w:webHidden/>
          </w:rPr>
          <w:t xml:space="preserve"> </w:t>
        </w:r>
        <w:r w:rsidR="005A68E5">
          <w:rPr>
            <w:webHidden/>
          </w:rPr>
          <w:tab/>
        </w:r>
        <w:r w:rsidR="005A68E5">
          <w:rPr>
            <w:webHidden/>
          </w:rPr>
          <w:fldChar w:fldCharType="begin"/>
        </w:r>
        <w:r w:rsidR="005A68E5">
          <w:rPr>
            <w:webHidden/>
          </w:rPr>
          <w:instrText xml:space="preserve"> PAGEREF _Toc426474153 \h </w:instrText>
        </w:r>
        <w:r w:rsidR="005A68E5">
          <w:rPr>
            <w:webHidden/>
          </w:rPr>
        </w:r>
        <w:r w:rsidR="005A68E5">
          <w:rPr>
            <w:webHidden/>
          </w:rPr>
          <w:fldChar w:fldCharType="separate"/>
        </w:r>
        <w:r w:rsidR="00B64AAD">
          <w:rPr>
            <w:webHidden/>
          </w:rPr>
          <w:t>5</w:t>
        </w:r>
        <w:r w:rsidR="005A68E5">
          <w:rPr>
            <w:webHidden/>
          </w:rPr>
          <w:fldChar w:fldCharType="end"/>
        </w:r>
      </w:hyperlink>
    </w:p>
    <w:p w14:paraId="787CEF74" w14:textId="7F1BD9A3" w:rsidR="005A68E5" w:rsidRDefault="005F4A3A">
      <w:pPr>
        <w:pStyle w:val="TOC1"/>
        <w:rPr>
          <w:rFonts w:asciiTheme="minorHAnsi" w:hAnsiTheme="minorHAnsi" w:cstheme="minorBidi"/>
          <w:bCs w:val="0"/>
          <w:sz w:val="22"/>
          <w:szCs w:val="22"/>
        </w:rPr>
      </w:pPr>
      <w:hyperlink w:anchor="_Toc426474154" w:history="1">
        <w:r w:rsidR="005A68E5" w:rsidRPr="00E10B4B">
          <w:rPr>
            <w:rStyle w:val="Hyperlink"/>
          </w:rPr>
          <w:t>6</w:t>
        </w:r>
        <w:r w:rsidR="005A68E5">
          <w:rPr>
            <w:rFonts w:asciiTheme="minorHAnsi" w:hAnsiTheme="minorHAnsi" w:cstheme="minorBidi"/>
            <w:bCs w:val="0"/>
            <w:sz w:val="22"/>
            <w:szCs w:val="22"/>
          </w:rPr>
          <w:tab/>
        </w:r>
        <w:r w:rsidR="005A68E5" w:rsidRPr="00E10B4B">
          <w:rPr>
            <w:rStyle w:val="Hyperlink"/>
          </w:rPr>
          <w:t>Progress Board</w:t>
        </w:r>
        <w:r w:rsidR="005A68E5">
          <w:rPr>
            <w:webHidden/>
          </w:rPr>
          <w:t xml:space="preserve"> </w:t>
        </w:r>
        <w:r w:rsidR="005A68E5">
          <w:rPr>
            <w:webHidden/>
          </w:rPr>
          <w:tab/>
        </w:r>
        <w:r w:rsidR="005A68E5">
          <w:rPr>
            <w:webHidden/>
          </w:rPr>
          <w:fldChar w:fldCharType="begin"/>
        </w:r>
        <w:r w:rsidR="005A68E5">
          <w:rPr>
            <w:webHidden/>
          </w:rPr>
          <w:instrText xml:space="preserve"> PAGEREF _Toc426474154 \h </w:instrText>
        </w:r>
        <w:r w:rsidR="005A68E5">
          <w:rPr>
            <w:webHidden/>
          </w:rPr>
        </w:r>
        <w:r w:rsidR="005A68E5">
          <w:rPr>
            <w:webHidden/>
          </w:rPr>
          <w:fldChar w:fldCharType="separate"/>
        </w:r>
        <w:r w:rsidR="00B64AAD">
          <w:rPr>
            <w:webHidden/>
          </w:rPr>
          <w:t>6</w:t>
        </w:r>
        <w:r w:rsidR="005A68E5">
          <w:rPr>
            <w:webHidden/>
          </w:rPr>
          <w:fldChar w:fldCharType="end"/>
        </w:r>
      </w:hyperlink>
    </w:p>
    <w:p w14:paraId="6BFB2CF3" w14:textId="4ADE7EA2" w:rsidR="005A68E5" w:rsidRDefault="005F4A3A">
      <w:pPr>
        <w:pStyle w:val="TOC1"/>
        <w:rPr>
          <w:rFonts w:asciiTheme="minorHAnsi" w:hAnsiTheme="minorHAnsi" w:cstheme="minorBidi"/>
          <w:bCs w:val="0"/>
          <w:sz w:val="22"/>
          <w:szCs w:val="22"/>
        </w:rPr>
      </w:pPr>
      <w:hyperlink w:anchor="_Toc426474155" w:history="1">
        <w:r w:rsidR="005A68E5" w:rsidRPr="00E10B4B">
          <w:rPr>
            <w:rStyle w:val="Hyperlink"/>
          </w:rPr>
          <w:t>7</w:t>
        </w:r>
        <w:r w:rsidR="005A68E5">
          <w:rPr>
            <w:rFonts w:asciiTheme="minorHAnsi" w:hAnsiTheme="minorHAnsi" w:cstheme="minorBidi"/>
            <w:bCs w:val="0"/>
            <w:sz w:val="22"/>
            <w:szCs w:val="22"/>
          </w:rPr>
          <w:tab/>
        </w:r>
        <w:r w:rsidR="00512266">
          <w:rPr>
            <w:rStyle w:val="Hyperlink"/>
          </w:rPr>
          <w:t>Extenuating</w:t>
        </w:r>
        <w:r w:rsidR="005A68E5" w:rsidRPr="00E10B4B">
          <w:rPr>
            <w:rStyle w:val="Hyperlink"/>
          </w:rPr>
          <w:t xml:space="preserve"> Circumstances Committee</w:t>
        </w:r>
        <w:r w:rsidR="005A68E5">
          <w:rPr>
            <w:webHidden/>
          </w:rPr>
          <w:t xml:space="preserve"> </w:t>
        </w:r>
        <w:r w:rsidR="005A68E5">
          <w:rPr>
            <w:webHidden/>
          </w:rPr>
          <w:tab/>
        </w:r>
        <w:r w:rsidR="005A68E5">
          <w:rPr>
            <w:webHidden/>
          </w:rPr>
          <w:fldChar w:fldCharType="begin"/>
        </w:r>
        <w:r w:rsidR="005A68E5">
          <w:rPr>
            <w:webHidden/>
          </w:rPr>
          <w:instrText xml:space="preserve"> PAGEREF _Toc426474155 \h </w:instrText>
        </w:r>
        <w:r w:rsidR="005A68E5">
          <w:rPr>
            <w:webHidden/>
          </w:rPr>
        </w:r>
        <w:r w:rsidR="005A68E5">
          <w:rPr>
            <w:webHidden/>
          </w:rPr>
          <w:fldChar w:fldCharType="separate"/>
        </w:r>
        <w:r w:rsidR="00B64AAD">
          <w:rPr>
            <w:webHidden/>
          </w:rPr>
          <w:t>7</w:t>
        </w:r>
        <w:r w:rsidR="005A68E5">
          <w:rPr>
            <w:webHidden/>
          </w:rPr>
          <w:fldChar w:fldCharType="end"/>
        </w:r>
      </w:hyperlink>
    </w:p>
    <w:p w14:paraId="1DF85134" w14:textId="0793CC0E" w:rsidR="005A68E5" w:rsidRDefault="005F4A3A">
      <w:pPr>
        <w:pStyle w:val="TOC1"/>
        <w:rPr>
          <w:rFonts w:asciiTheme="minorHAnsi" w:hAnsiTheme="minorHAnsi" w:cstheme="minorBidi"/>
          <w:bCs w:val="0"/>
          <w:sz w:val="22"/>
          <w:szCs w:val="22"/>
        </w:rPr>
      </w:pPr>
      <w:hyperlink w:anchor="_Toc426474156" w:history="1">
        <w:r w:rsidR="005A68E5" w:rsidRPr="00E10B4B">
          <w:rPr>
            <w:rStyle w:val="Hyperlink"/>
          </w:rPr>
          <w:t>8</w:t>
        </w:r>
        <w:r w:rsidR="005A68E5">
          <w:rPr>
            <w:rFonts w:asciiTheme="minorHAnsi" w:hAnsiTheme="minorHAnsi" w:cstheme="minorBidi"/>
            <w:bCs w:val="0"/>
            <w:sz w:val="22"/>
            <w:szCs w:val="22"/>
          </w:rPr>
          <w:tab/>
        </w:r>
        <w:r w:rsidR="005A68E5" w:rsidRPr="00E10B4B">
          <w:rPr>
            <w:rStyle w:val="Hyperlink"/>
          </w:rPr>
          <w:t>Final Boards of Examiners</w:t>
        </w:r>
        <w:r w:rsidR="005A68E5">
          <w:rPr>
            <w:webHidden/>
          </w:rPr>
          <w:t xml:space="preserve"> </w:t>
        </w:r>
        <w:r w:rsidR="005A68E5">
          <w:rPr>
            <w:webHidden/>
          </w:rPr>
          <w:tab/>
        </w:r>
        <w:r w:rsidR="005A68E5">
          <w:rPr>
            <w:webHidden/>
          </w:rPr>
          <w:fldChar w:fldCharType="begin"/>
        </w:r>
        <w:r w:rsidR="005A68E5">
          <w:rPr>
            <w:webHidden/>
          </w:rPr>
          <w:instrText xml:space="preserve"> PAGEREF _Toc426474156 \h </w:instrText>
        </w:r>
        <w:r w:rsidR="005A68E5">
          <w:rPr>
            <w:webHidden/>
          </w:rPr>
        </w:r>
        <w:r w:rsidR="005A68E5">
          <w:rPr>
            <w:webHidden/>
          </w:rPr>
          <w:fldChar w:fldCharType="separate"/>
        </w:r>
        <w:r w:rsidR="00B64AAD">
          <w:rPr>
            <w:webHidden/>
          </w:rPr>
          <w:t>8</w:t>
        </w:r>
        <w:r w:rsidR="005A68E5">
          <w:rPr>
            <w:webHidden/>
          </w:rPr>
          <w:fldChar w:fldCharType="end"/>
        </w:r>
      </w:hyperlink>
    </w:p>
    <w:p w14:paraId="5A4FF328" w14:textId="66A84B86" w:rsidR="005A68E5" w:rsidRDefault="005F4A3A">
      <w:pPr>
        <w:pStyle w:val="TOC1"/>
        <w:rPr>
          <w:rFonts w:asciiTheme="minorHAnsi" w:hAnsiTheme="minorHAnsi" w:cstheme="minorBidi"/>
          <w:bCs w:val="0"/>
          <w:sz w:val="22"/>
          <w:szCs w:val="22"/>
        </w:rPr>
      </w:pPr>
      <w:hyperlink w:anchor="_Toc426474157" w:history="1">
        <w:r w:rsidR="005A68E5" w:rsidRPr="00E10B4B">
          <w:rPr>
            <w:rStyle w:val="Hyperlink"/>
          </w:rPr>
          <w:t>9</w:t>
        </w:r>
        <w:r w:rsidR="005A68E5">
          <w:rPr>
            <w:rFonts w:asciiTheme="minorHAnsi" w:hAnsiTheme="minorHAnsi" w:cstheme="minorBidi"/>
            <w:bCs w:val="0"/>
            <w:sz w:val="22"/>
            <w:szCs w:val="22"/>
          </w:rPr>
          <w:tab/>
        </w:r>
        <w:r w:rsidR="005A68E5" w:rsidRPr="00E10B4B">
          <w:rPr>
            <w:rStyle w:val="Hyperlink"/>
          </w:rPr>
          <w:t>Assessment Appeals</w:t>
        </w:r>
        <w:r w:rsidR="005A68E5">
          <w:rPr>
            <w:webHidden/>
          </w:rPr>
          <w:t xml:space="preserve"> </w:t>
        </w:r>
        <w:r w:rsidR="005A68E5">
          <w:rPr>
            <w:webHidden/>
          </w:rPr>
          <w:tab/>
        </w:r>
        <w:r w:rsidR="005A68E5">
          <w:rPr>
            <w:webHidden/>
          </w:rPr>
          <w:fldChar w:fldCharType="begin"/>
        </w:r>
        <w:r w:rsidR="005A68E5">
          <w:rPr>
            <w:webHidden/>
          </w:rPr>
          <w:instrText xml:space="preserve"> PAGEREF _Toc426474157 \h </w:instrText>
        </w:r>
        <w:r w:rsidR="005A68E5">
          <w:rPr>
            <w:webHidden/>
          </w:rPr>
        </w:r>
        <w:r w:rsidR="005A68E5">
          <w:rPr>
            <w:webHidden/>
          </w:rPr>
          <w:fldChar w:fldCharType="separate"/>
        </w:r>
        <w:r w:rsidR="00B64AAD">
          <w:rPr>
            <w:webHidden/>
          </w:rPr>
          <w:t>8</w:t>
        </w:r>
        <w:r w:rsidR="005A68E5">
          <w:rPr>
            <w:webHidden/>
          </w:rPr>
          <w:fldChar w:fldCharType="end"/>
        </w:r>
      </w:hyperlink>
    </w:p>
    <w:p w14:paraId="30EA58EB" w14:textId="77777777" w:rsidR="00876075" w:rsidRPr="00846FB2" w:rsidRDefault="00876075" w:rsidP="00846FB2">
      <w:pPr>
        <w:spacing w:before="240" w:after="240"/>
        <w:rPr>
          <w:color w:val="943634" w:themeColor="accent2" w:themeShade="BF"/>
          <w:sz w:val="24"/>
          <w:szCs w:val="24"/>
        </w:rPr>
      </w:pPr>
      <w:r w:rsidRPr="00846FB2">
        <w:rPr>
          <w:rFonts w:ascii="Arial" w:hAnsi="Arial" w:cs="Arial"/>
          <w:color w:val="943634" w:themeColor="accent2" w:themeShade="BF"/>
          <w:sz w:val="28"/>
          <w:szCs w:val="28"/>
        </w:rPr>
        <w:fldChar w:fldCharType="end"/>
      </w:r>
    </w:p>
    <w:p w14:paraId="2961EA0B" w14:textId="77777777" w:rsidR="00876075" w:rsidRDefault="00876075">
      <w:pPr>
        <w:rPr>
          <w:rFonts w:ascii="Arial" w:hAnsi="Arial" w:cs="Arial"/>
          <w:b/>
          <w:bCs/>
          <w:color w:val="943634" w:themeColor="accent2" w:themeShade="BF"/>
          <w:sz w:val="24"/>
          <w:szCs w:val="24"/>
        </w:rPr>
      </w:pPr>
      <w:r>
        <w:rPr>
          <w:color w:val="943634" w:themeColor="accent2" w:themeShade="BF"/>
          <w:sz w:val="24"/>
          <w:szCs w:val="24"/>
        </w:rPr>
        <w:br w:type="page"/>
      </w:r>
    </w:p>
    <w:p w14:paraId="2C5C6417" w14:textId="77777777" w:rsidR="00ED4A53" w:rsidRPr="00D23717" w:rsidRDefault="00981629" w:rsidP="00846FB2">
      <w:pPr>
        <w:pStyle w:val="CoPborderheading"/>
        <w:rPr>
          <w:rFonts w:hint="eastAsia"/>
        </w:rPr>
      </w:pPr>
      <w:bookmarkStart w:id="0" w:name="_Toc342395970"/>
      <w:bookmarkStart w:id="1" w:name="_Toc426474149"/>
      <w:r w:rsidRPr="00D23717">
        <w:lastRenderedPageBreak/>
        <w:t xml:space="preserve">Introduction </w:t>
      </w:r>
      <w:r w:rsidR="00E92B0F" w:rsidRPr="00D23717">
        <w:t>and Context</w:t>
      </w:r>
      <w:bookmarkEnd w:id="0"/>
      <w:bookmarkEnd w:id="1"/>
      <w:r w:rsidR="00ED4A53" w:rsidRPr="00D23717">
        <w:t xml:space="preserve"> </w:t>
      </w:r>
    </w:p>
    <w:p w14:paraId="1DD8215D" w14:textId="0095CF0E" w:rsidR="002B5376" w:rsidRDefault="0008662E" w:rsidP="002B5376">
      <w:pPr>
        <w:pStyle w:val="CoPNumberlevel1"/>
      </w:pPr>
      <w:bookmarkStart w:id="2" w:name="_Toc342395969"/>
      <w:r>
        <w:t>T</w:t>
      </w:r>
      <w:r w:rsidR="00D803DE">
        <w:t>he purpose of this Code of Practice is to inform</w:t>
      </w:r>
      <w:r w:rsidR="00585CB7">
        <w:t xml:space="preserve"> LSTM </w:t>
      </w:r>
      <w:r w:rsidR="00D803DE">
        <w:t>staff and students</w:t>
      </w:r>
      <w:r w:rsidR="00585CB7">
        <w:t xml:space="preserve">, </w:t>
      </w:r>
      <w:r w:rsidR="00A11EF2">
        <w:t xml:space="preserve">and relevant </w:t>
      </w:r>
      <w:r w:rsidR="00D803DE">
        <w:t xml:space="preserve">individuals from outside </w:t>
      </w:r>
      <w:r w:rsidR="00A11EF2">
        <w:t xml:space="preserve">LSTM (e.g. </w:t>
      </w:r>
      <w:r w:rsidR="009F0E7F">
        <w:t>External E</w:t>
      </w:r>
      <w:r w:rsidR="00D803DE">
        <w:t>xaminers</w:t>
      </w:r>
      <w:r w:rsidR="00A11EF2">
        <w:t xml:space="preserve">), about the processes for monitoring </w:t>
      </w:r>
      <w:r w:rsidR="00585CB7">
        <w:t>the progress of students on LSTM taught programmes</w:t>
      </w:r>
      <w:r w:rsidR="00CC43F6">
        <w:t xml:space="preserve"> and the </w:t>
      </w:r>
      <w:r>
        <w:t xml:space="preserve">actions </w:t>
      </w:r>
      <w:r w:rsidR="00CC43F6">
        <w:t xml:space="preserve">that </w:t>
      </w:r>
      <w:r>
        <w:t>may be taken whe</w:t>
      </w:r>
      <w:r w:rsidR="00CC43F6">
        <w:t xml:space="preserve">n </w:t>
      </w:r>
      <w:r>
        <w:t>progress</w:t>
      </w:r>
      <w:r w:rsidR="00CC43F6">
        <w:t xml:space="preserve"> is unsatisfactory</w:t>
      </w:r>
      <w:r>
        <w:t>.</w:t>
      </w:r>
      <w:r w:rsidR="00CC43F6">
        <w:t xml:space="preserve">  It also explains the purpose and remits of the various committees and boards involved in formally</w:t>
      </w:r>
      <w:r w:rsidR="002B5376">
        <w:t xml:space="preserve"> monitoring student progress and the awarding of degrees. </w:t>
      </w:r>
    </w:p>
    <w:p w14:paraId="67749448" w14:textId="246A3F09" w:rsidR="0008662E" w:rsidRPr="00662AC8" w:rsidRDefault="0008662E" w:rsidP="002B5376">
      <w:pPr>
        <w:pStyle w:val="CoPNumberlevel1"/>
      </w:pPr>
      <w:r w:rsidRPr="00662AC8">
        <w:t>This Co</w:t>
      </w:r>
      <w:r w:rsidR="009F0E7F">
        <w:t xml:space="preserve">de of </w:t>
      </w:r>
      <w:r w:rsidR="00CC43F6">
        <w:t>P</w:t>
      </w:r>
      <w:r w:rsidR="009F0E7F">
        <w:t>ractice</w:t>
      </w:r>
      <w:r w:rsidR="00CC43F6">
        <w:t xml:space="preserve"> </w:t>
      </w:r>
      <w:r w:rsidRPr="00662AC8">
        <w:t xml:space="preserve">complies with all current statutory and legislative requirements including the Equality Act 2010 and the Data Protection Act </w:t>
      </w:r>
      <w:r w:rsidR="005F4A3A">
        <w:t>2018.</w:t>
      </w:r>
      <w:r w:rsidRPr="00662AC8">
        <w:t xml:space="preserve"> </w:t>
      </w:r>
      <w:r>
        <w:t xml:space="preserve"> </w:t>
      </w:r>
      <w:r w:rsidRPr="00662AC8">
        <w:t xml:space="preserve">It is set within the context of the UK Quality Code for Higher Education </w:t>
      </w:r>
      <w:r w:rsidRPr="009F0E7F">
        <w:t>Chapter B6</w:t>
      </w:r>
      <w:r w:rsidR="009F0E7F">
        <w:t xml:space="preserve"> (</w:t>
      </w:r>
      <w:r w:rsidRPr="009F0E7F">
        <w:t>Assessment of students and the recognition of prior learning</w:t>
      </w:r>
      <w:r w:rsidR="009F0E7F">
        <w:t xml:space="preserve">, </w:t>
      </w:r>
      <w:r w:rsidRPr="009F0E7F">
        <w:t>October 2013).</w:t>
      </w:r>
    </w:p>
    <w:p w14:paraId="7E696AFD" w14:textId="77777777" w:rsidR="006B0CCB" w:rsidRDefault="006B0CCB" w:rsidP="006B0CCB">
      <w:pPr>
        <w:pStyle w:val="CoPNumberlevel1"/>
      </w:pPr>
      <w:r>
        <w:t>Related documents:</w:t>
      </w:r>
    </w:p>
    <w:p w14:paraId="4D079E00" w14:textId="77777777" w:rsidR="00005694" w:rsidRDefault="00005694" w:rsidP="00005694">
      <w:pPr>
        <w:pStyle w:val="CoPbullet"/>
        <w:ind w:left="1134" w:hanging="425"/>
      </w:pPr>
      <w:r w:rsidRPr="00323310">
        <w:t>Code of Practice on Assessment and Feedback.</w:t>
      </w:r>
    </w:p>
    <w:p w14:paraId="38454BD4" w14:textId="0D08E9F2" w:rsidR="00005694" w:rsidRDefault="00005694" w:rsidP="00005694">
      <w:pPr>
        <w:pStyle w:val="CoPbullet"/>
        <w:ind w:left="1134" w:hanging="425"/>
      </w:pPr>
      <w:r>
        <w:t>Code o</w:t>
      </w:r>
      <w:r w:rsidR="003453E2">
        <w:t xml:space="preserve">f </w:t>
      </w:r>
      <w:r>
        <w:t>Practice on External Examining</w:t>
      </w:r>
      <w:r w:rsidR="00A754E2">
        <w:t xml:space="preserve"> of Taught Programmes</w:t>
      </w:r>
    </w:p>
    <w:p w14:paraId="7CC74938" w14:textId="77777777" w:rsidR="00661912" w:rsidRDefault="00661912" w:rsidP="00005694">
      <w:pPr>
        <w:pStyle w:val="CoPbullet"/>
        <w:ind w:left="1134" w:hanging="425"/>
      </w:pPr>
      <w:r>
        <w:t>Code of Practice on Academic Integrity</w:t>
      </w:r>
    </w:p>
    <w:p w14:paraId="557AD816" w14:textId="1B0A7F6D" w:rsidR="00005694" w:rsidRPr="00323310" w:rsidRDefault="00661912" w:rsidP="00005694">
      <w:pPr>
        <w:pStyle w:val="CoPbullet"/>
        <w:ind w:left="1134" w:hanging="425"/>
      </w:pPr>
      <w:r>
        <w:t xml:space="preserve">Procedure for Dealing with Academic Appeals (Taught Programmes) </w:t>
      </w:r>
    </w:p>
    <w:p w14:paraId="569AC36E" w14:textId="7A67C6C5" w:rsidR="0008662E" w:rsidRDefault="00F55994" w:rsidP="006B0CCB">
      <w:pPr>
        <w:pStyle w:val="CoPbullet"/>
        <w:ind w:left="1134" w:hanging="425"/>
      </w:pPr>
      <w:r>
        <w:t xml:space="preserve">Procedure for </w:t>
      </w:r>
      <w:r w:rsidR="00A754E2">
        <w:t>C</w:t>
      </w:r>
      <w:r w:rsidR="000B7AF2">
        <w:t xml:space="preserve">onsideration of </w:t>
      </w:r>
      <w:r w:rsidR="001E1DB4">
        <w:t>Extenu</w:t>
      </w:r>
      <w:r w:rsidR="00A754E2">
        <w:t>ating C</w:t>
      </w:r>
      <w:r w:rsidR="00323310">
        <w:t xml:space="preserve">ircumstances </w:t>
      </w:r>
    </w:p>
    <w:p w14:paraId="077428ED" w14:textId="1FC006A5" w:rsidR="00481551" w:rsidRPr="003453E2" w:rsidRDefault="00A754E2" w:rsidP="006B0CCB">
      <w:pPr>
        <w:pStyle w:val="CoPbullet"/>
        <w:ind w:left="1134" w:hanging="425"/>
      </w:pPr>
      <w:r>
        <w:t>Procedure for V</w:t>
      </w:r>
      <w:r w:rsidR="00481551" w:rsidRPr="003453E2">
        <w:t>er</w:t>
      </w:r>
      <w:r>
        <w:t>ification of Examination P</w:t>
      </w:r>
      <w:r w:rsidR="009F0E7F">
        <w:t>apers</w:t>
      </w:r>
    </w:p>
    <w:p w14:paraId="123594BF" w14:textId="77777777" w:rsidR="00981629" w:rsidRPr="00A07F52" w:rsidRDefault="00981629" w:rsidP="00846FB2">
      <w:pPr>
        <w:pStyle w:val="CoPborderheading"/>
        <w:rPr>
          <w:rFonts w:hint="eastAsia"/>
        </w:rPr>
      </w:pPr>
      <w:bookmarkStart w:id="3" w:name="_Toc426474150"/>
      <w:r w:rsidRPr="00A07F52">
        <w:t>Scope</w:t>
      </w:r>
      <w:bookmarkEnd w:id="2"/>
      <w:bookmarkEnd w:id="3"/>
      <w:r w:rsidRPr="00A07F52">
        <w:t xml:space="preserve"> </w:t>
      </w:r>
    </w:p>
    <w:p w14:paraId="2C981511" w14:textId="238E4EFC" w:rsidR="00CA7FE2" w:rsidRDefault="00CA7FE2" w:rsidP="00CA7FE2">
      <w:pPr>
        <w:pStyle w:val="CoPNumberlevel1"/>
      </w:pPr>
      <w:bookmarkStart w:id="4" w:name="_Toc342395973"/>
      <w:r>
        <w:t>This Co</w:t>
      </w:r>
      <w:r w:rsidR="009F0E7F">
        <w:t xml:space="preserve">de of </w:t>
      </w:r>
      <w:r w:rsidR="00CC43F6">
        <w:t>P</w:t>
      </w:r>
      <w:r w:rsidR="009F0E7F">
        <w:t xml:space="preserve">ractice applies </w:t>
      </w:r>
      <w:r w:rsidR="00A13232">
        <w:t xml:space="preserve">to </w:t>
      </w:r>
      <w:r>
        <w:t xml:space="preserve">students </w:t>
      </w:r>
      <w:r w:rsidR="00B85A18">
        <w:t xml:space="preserve">on </w:t>
      </w:r>
      <w:r w:rsidR="00A13232">
        <w:t xml:space="preserve">all </w:t>
      </w:r>
      <w:r w:rsidR="002B5376">
        <w:t xml:space="preserve">LSTM </w:t>
      </w:r>
      <w:r w:rsidR="00B85A18">
        <w:t>taught programmes of study.</w:t>
      </w:r>
    </w:p>
    <w:p w14:paraId="616CF10F" w14:textId="77777777" w:rsidR="00ED4A53" w:rsidRPr="00A07F52" w:rsidRDefault="00ED4A53" w:rsidP="00846FB2">
      <w:pPr>
        <w:pStyle w:val="CoPborderheading"/>
        <w:rPr>
          <w:rFonts w:hint="eastAsia"/>
        </w:rPr>
      </w:pPr>
      <w:bookmarkStart w:id="5" w:name="_Toc426474151"/>
      <w:r w:rsidRPr="00A07F52">
        <w:t>Roles and Responsibilities</w:t>
      </w:r>
      <w:bookmarkEnd w:id="4"/>
      <w:bookmarkEnd w:id="5"/>
    </w:p>
    <w:p w14:paraId="6C8940C9" w14:textId="2DFE4098" w:rsidR="002B5376" w:rsidRDefault="002B5376" w:rsidP="00C53AE8">
      <w:pPr>
        <w:pStyle w:val="CoPNumberlevel1"/>
      </w:pPr>
      <w:r>
        <w:t xml:space="preserve">The </w:t>
      </w:r>
      <w:r w:rsidR="00A13232">
        <w:t>Board</w:t>
      </w:r>
      <w:r>
        <w:t xml:space="preserve"> of Examiners</w:t>
      </w:r>
      <w:r w:rsidR="00A13232">
        <w:t xml:space="preserve"> </w:t>
      </w:r>
      <w:r w:rsidR="00661912">
        <w:t xml:space="preserve">is responsible for ensuring that appropriate mechanisms exist and are operated consistently for monitoring performance of students, for taking remedial action and for dealing with students whose progress is unsatisfactory. In the discharge of these duties, the Board of Examiners </w:t>
      </w:r>
      <w:r w:rsidR="00EE02DB">
        <w:t xml:space="preserve">can </w:t>
      </w:r>
      <w:r w:rsidR="00A13232">
        <w:t xml:space="preserve">operate as a Module Review Board, as a Progress Board and as a Final Board of Examiners </w:t>
      </w:r>
      <w:r>
        <w:t xml:space="preserve">in accordance with the regulations governing the </w:t>
      </w:r>
      <w:proofErr w:type="gramStart"/>
      <w:r>
        <w:t>particular programme</w:t>
      </w:r>
      <w:proofErr w:type="gramEnd"/>
      <w:r>
        <w:t xml:space="preserve"> of study and in </w:t>
      </w:r>
      <w:r w:rsidR="009F0E7F">
        <w:t xml:space="preserve">line </w:t>
      </w:r>
      <w:r>
        <w:t xml:space="preserve">with the </w:t>
      </w:r>
      <w:r w:rsidRPr="00A13232">
        <w:rPr>
          <w:i/>
        </w:rPr>
        <w:t>Code of Practice on Assessment</w:t>
      </w:r>
      <w:r w:rsidR="003453E2">
        <w:rPr>
          <w:i/>
        </w:rPr>
        <w:t xml:space="preserve"> and Feedback</w:t>
      </w:r>
      <w:r>
        <w:t>.</w:t>
      </w:r>
    </w:p>
    <w:p w14:paraId="5C04B51B" w14:textId="77777777" w:rsidR="00EA6C7F" w:rsidRPr="00A13232" w:rsidRDefault="00EA6C7F" w:rsidP="00EA6C7F">
      <w:pPr>
        <w:pStyle w:val="CoPNumberlevel1"/>
      </w:pPr>
      <w:r>
        <w:t xml:space="preserve">The MSc Board of Examiners will operate as a Module Review Board to </w:t>
      </w:r>
      <w:r w:rsidRPr="00EE02DB">
        <w:t>approv</w:t>
      </w:r>
      <w:r>
        <w:t xml:space="preserve">e </w:t>
      </w:r>
      <w:r w:rsidRPr="00EE02DB">
        <w:t xml:space="preserve">module </w:t>
      </w:r>
      <w:r>
        <w:t xml:space="preserve">and </w:t>
      </w:r>
      <w:r w:rsidRPr="00EE02DB">
        <w:t>com</w:t>
      </w:r>
      <w:r>
        <w:t xml:space="preserve">ponent marks for each student, incorporating recommendations on any action to be taken relating to breaches of academic integrity in line with the </w:t>
      </w:r>
      <w:r w:rsidRPr="00EA6C7F">
        <w:rPr>
          <w:i/>
        </w:rPr>
        <w:t>Code of Practice on Academic Integrity</w:t>
      </w:r>
      <w:r>
        <w:t>.</w:t>
      </w:r>
    </w:p>
    <w:p w14:paraId="42B49A56" w14:textId="2591BBF9" w:rsidR="00262105" w:rsidRDefault="00262105" w:rsidP="00262105">
      <w:pPr>
        <w:pStyle w:val="CoPNumberlevel1"/>
      </w:pPr>
      <w:r>
        <w:lastRenderedPageBreak/>
        <w:t xml:space="preserve">The MSc Board of Examiners will operate as a Progress Board to consider the performance of all students, approve reassessments to be offered and recommend </w:t>
      </w:r>
      <w:r w:rsidRPr="00EE02DB">
        <w:t xml:space="preserve">action where appropriate </w:t>
      </w:r>
      <w:r>
        <w:t>when a student’s performance or engagement is giving cause for concern.</w:t>
      </w:r>
    </w:p>
    <w:p w14:paraId="539BBA8D" w14:textId="2EA06846" w:rsidR="00333068" w:rsidRDefault="003453E2" w:rsidP="007E5B62">
      <w:pPr>
        <w:pStyle w:val="CoPNumberlevel1"/>
      </w:pPr>
      <w:r>
        <w:t>T</w:t>
      </w:r>
      <w:r w:rsidR="007E5B62">
        <w:t xml:space="preserve">he </w:t>
      </w:r>
      <w:r w:rsidR="001E1DB4">
        <w:t>Extenu</w:t>
      </w:r>
      <w:r>
        <w:t>ating Circumstances Committee</w:t>
      </w:r>
      <w:r w:rsidR="00333068">
        <w:t xml:space="preserve"> </w:t>
      </w:r>
      <w:r w:rsidR="007E5B62">
        <w:t xml:space="preserve">will consider </w:t>
      </w:r>
      <w:r w:rsidR="00481551">
        <w:t xml:space="preserve">whether </w:t>
      </w:r>
      <w:r w:rsidR="007E5B62">
        <w:t>the</w:t>
      </w:r>
      <w:r w:rsidR="00481551">
        <w:t xml:space="preserve"> performance of a student </w:t>
      </w:r>
      <w:r w:rsidR="007E5B62">
        <w:t xml:space="preserve">was affected by </w:t>
      </w:r>
      <w:r w:rsidR="001E1DB4">
        <w:t>extenu</w:t>
      </w:r>
      <w:r w:rsidR="007E5B62">
        <w:t xml:space="preserve">ating circumstances and, in the case of an accepted </w:t>
      </w:r>
      <w:r w:rsidR="00481551">
        <w:t>cl</w:t>
      </w:r>
      <w:r>
        <w:t>aim</w:t>
      </w:r>
      <w:r w:rsidR="00481551">
        <w:t xml:space="preserve">, </w:t>
      </w:r>
      <w:r w:rsidR="007E5B62">
        <w:t xml:space="preserve">will make a recommendation to the Final Board of Examiners on the </w:t>
      </w:r>
      <w:r w:rsidR="00333068">
        <w:t>action to be taken</w:t>
      </w:r>
      <w:r w:rsidR="007E5B62">
        <w:t>.</w:t>
      </w:r>
    </w:p>
    <w:p w14:paraId="1958B513" w14:textId="253538DF" w:rsidR="005A68E5" w:rsidRDefault="005A68E5" w:rsidP="005A68E5">
      <w:pPr>
        <w:pStyle w:val="CoPNumberlevel1"/>
      </w:pPr>
      <w:r>
        <w:t xml:space="preserve">The Final Board of Examiners will approve final awards and any classification or other mark of differentiation of those awards, incorporating recommendations from the </w:t>
      </w:r>
      <w:r w:rsidR="001E1DB4">
        <w:t>Extenu</w:t>
      </w:r>
      <w:r>
        <w:t>ating Circumstances Committee.</w:t>
      </w:r>
    </w:p>
    <w:p w14:paraId="0473AA8F" w14:textId="518B4C9B" w:rsidR="00262105" w:rsidRDefault="00BB3FF3" w:rsidP="002B3F2C">
      <w:pPr>
        <w:pStyle w:val="CoPNumberlevel1"/>
      </w:pPr>
      <w:r>
        <w:t>The D</w:t>
      </w:r>
      <w:r w:rsidR="00E155F1">
        <w:t>ean</w:t>
      </w:r>
      <w:r>
        <w:t xml:space="preserve"> of Education </w:t>
      </w:r>
      <w:r w:rsidR="00481551">
        <w:t>will</w:t>
      </w:r>
      <w:r w:rsidR="00262105">
        <w:t>:</w:t>
      </w:r>
    </w:p>
    <w:p w14:paraId="235F5E2F" w14:textId="0E9440A8" w:rsidR="00685657" w:rsidRDefault="00262105" w:rsidP="00262105">
      <w:pPr>
        <w:pStyle w:val="CoPNumberlevel2"/>
      </w:pPr>
      <w:r>
        <w:t>E</w:t>
      </w:r>
      <w:r w:rsidR="00685657" w:rsidRPr="002B3F2C">
        <w:t>nsur</w:t>
      </w:r>
      <w:r w:rsidR="00685657">
        <w:t xml:space="preserve">e that </w:t>
      </w:r>
      <w:r w:rsidR="00685657" w:rsidRPr="002B3F2C">
        <w:t xml:space="preserve">all decisions taken </w:t>
      </w:r>
      <w:r w:rsidR="002B3F2C">
        <w:t xml:space="preserve">in relation to the monitoring of student progress </w:t>
      </w:r>
      <w:r w:rsidR="00685657" w:rsidRPr="002B3F2C">
        <w:t xml:space="preserve">are in accordance with </w:t>
      </w:r>
      <w:r w:rsidR="00685657">
        <w:t xml:space="preserve">LSTM </w:t>
      </w:r>
      <w:r w:rsidR="00685657" w:rsidRPr="002B3F2C">
        <w:t xml:space="preserve">regulations </w:t>
      </w:r>
      <w:r w:rsidR="00685657">
        <w:t xml:space="preserve">and </w:t>
      </w:r>
      <w:r w:rsidR="00685657" w:rsidRPr="002B3F2C">
        <w:t>that decisions and reasons for decisions are recor</w:t>
      </w:r>
      <w:r w:rsidR="00685657">
        <w:t>ded accurately</w:t>
      </w:r>
      <w:r>
        <w:t>.</w:t>
      </w:r>
    </w:p>
    <w:p w14:paraId="1F7C9C8B" w14:textId="788750A0" w:rsidR="00262105" w:rsidRPr="002B3F2C" w:rsidRDefault="00262105" w:rsidP="00262105">
      <w:pPr>
        <w:pStyle w:val="CoPNumberlevel2"/>
      </w:pPr>
      <w:r>
        <w:t xml:space="preserve">Meet with students whose </w:t>
      </w:r>
      <w:r w:rsidR="00214709">
        <w:t xml:space="preserve">academic </w:t>
      </w:r>
      <w:r>
        <w:t>performance is giving cause for concern.</w:t>
      </w:r>
    </w:p>
    <w:p w14:paraId="0C22AFFF" w14:textId="126662B6" w:rsidR="00BB3FF3" w:rsidRDefault="00BB3FF3" w:rsidP="00BB3FF3">
      <w:pPr>
        <w:pStyle w:val="CoPNumberlevel1"/>
      </w:pPr>
      <w:r>
        <w:t xml:space="preserve">The Academic Registrar </w:t>
      </w:r>
      <w:r w:rsidR="00481551">
        <w:t>will</w:t>
      </w:r>
      <w:r>
        <w:t>:</w:t>
      </w:r>
    </w:p>
    <w:p w14:paraId="2AB140C2" w14:textId="3D8EED5E" w:rsidR="003453E2" w:rsidRDefault="003453E2" w:rsidP="003453E2">
      <w:pPr>
        <w:pStyle w:val="CoPNumberlevel2"/>
      </w:pPr>
      <w:r>
        <w:t>Act as Secretary to</w:t>
      </w:r>
      <w:r w:rsidRPr="00481551">
        <w:t xml:space="preserve"> meetings of the </w:t>
      </w:r>
      <w:r w:rsidR="002B3F2C">
        <w:t xml:space="preserve">Boards / Committees in </w:t>
      </w:r>
      <w:r w:rsidR="005A68E5">
        <w:t xml:space="preserve">Sections </w:t>
      </w:r>
      <w:r w:rsidR="002B3F2C">
        <w:t>3.2 – 3.5</w:t>
      </w:r>
      <w:r w:rsidRPr="00481551">
        <w:t xml:space="preserve"> or </w:t>
      </w:r>
      <w:r w:rsidR="00591330">
        <w:t>appoint an appropriate delegate</w:t>
      </w:r>
    </w:p>
    <w:p w14:paraId="29C67446" w14:textId="7D005E51" w:rsidR="00BB3FF3" w:rsidRDefault="002B3F2C" w:rsidP="002B3F2C">
      <w:pPr>
        <w:pStyle w:val="CoPNumberlevel2"/>
      </w:pPr>
      <w:r>
        <w:t>At the request of the Progress Board or the Director of Studies, convene a Progress Panel to interview any student</w:t>
      </w:r>
      <w:r w:rsidRPr="00481551">
        <w:t xml:space="preserve"> whose </w:t>
      </w:r>
      <w:r w:rsidR="00262105">
        <w:t xml:space="preserve">engagement with their </w:t>
      </w:r>
      <w:r w:rsidRPr="00481551">
        <w:t>progr</w:t>
      </w:r>
      <w:r w:rsidR="00262105">
        <w:t xml:space="preserve">amme </w:t>
      </w:r>
      <w:r w:rsidRPr="00481551">
        <w:t xml:space="preserve">is giving </w:t>
      </w:r>
      <w:r>
        <w:t xml:space="preserve">serious </w:t>
      </w:r>
      <w:r w:rsidRPr="00481551">
        <w:t>cause for concern</w:t>
      </w:r>
      <w:r w:rsidR="00214709">
        <w:t xml:space="preserve"> and provide students and the Progress Board with a written account of such meetings.</w:t>
      </w:r>
    </w:p>
    <w:p w14:paraId="7A2D05FA" w14:textId="6BF0C6A6" w:rsidR="00214709" w:rsidRDefault="00214709" w:rsidP="00214709">
      <w:pPr>
        <w:pStyle w:val="CoPNumberlevel2"/>
      </w:pPr>
      <w:r>
        <w:t>At the request of the D</w:t>
      </w:r>
      <w:r w:rsidR="00E155F1">
        <w:t>ean</w:t>
      </w:r>
      <w:r>
        <w:t xml:space="preserve"> of Education, act as note-taker for meetings with students whose academic performance is giving cause for concern and provide students with a written account of such meetings.</w:t>
      </w:r>
    </w:p>
    <w:p w14:paraId="022EC891" w14:textId="17248A0E" w:rsidR="00481551" w:rsidRDefault="00481551" w:rsidP="00481551">
      <w:pPr>
        <w:pStyle w:val="CoPNumberlevel1"/>
      </w:pPr>
      <w:r>
        <w:t>The Quality Assurance Manager will:</w:t>
      </w:r>
    </w:p>
    <w:p w14:paraId="0B2089C9" w14:textId="00DC8967" w:rsidR="00481551" w:rsidRDefault="00481551" w:rsidP="00481551">
      <w:pPr>
        <w:pStyle w:val="CoPNumberlevel2"/>
      </w:pPr>
      <w:r>
        <w:t>Set a timetable for examination activities in the School</w:t>
      </w:r>
    </w:p>
    <w:p w14:paraId="742BE604" w14:textId="2F051B13" w:rsidR="00481551" w:rsidRDefault="00481551" w:rsidP="00481551">
      <w:pPr>
        <w:pStyle w:val="CoPNumberlevel2"/>
      </w:pPr>
      <w:r>
        <w:t xml:space="preserve">Liaise with external and internal examiners over the preparation, review and modification and approval of examination papers according to the </w:t>
      </w:r>
      <w:r w:rsidR="00A754E2">
        <w:rPr>
          <w:i/>
        </w:rPr>
        <w:t>Procedure for Verification of Examination P</w:t>
      </w:r>
      <w:r w:rsidRPr="00481551">
        <w:rPr>
          <w:i/>
        </w:rPr>
        <w:t>apers</w:t>
      </w:r>
    </w:p>
    <w:p w14:paraId="47B9A375" w14:textId="71EC790C" w:rsidR="00481551" w:rsidRPr="002B3F2C" w:rsidRDefault="00E9065B" w:rsidP="003453E2">
      <w:pPr>
        <w:pStyle w:val="CoPNumberlevel2"/>
      </w:pPr>
      <w:r>
        <w:t xml:space="preserve">Make </w:t>
      </w:r>
      <w:r w:rsidR="009F0E7F">
        <w:t xml:space="preserve">suitable </w:t>
      </w:r>
      <w:r w:rsidR="00481551">
        <w:t xml:space="preserve">arrangements for External Examiners </w:t>
      </w:r>
      <w:r>
        <w:t xml:space="preserve">that </w:t>
      </w:r>
      <w:r w:rsidR="003453E2">
        <w:t>allow them to discharge their duties effectively as laid out in t</w:t>
      </w:r>
      <w:r w:rsidR="00481551">
        <w:t xml:space="preserve">he </w:t>
      </w:r>
      <w:r w:rsidR="00481551" w:rsidRPr="003453E2">
        <w:rPr>
          <w:i/>
        </w:rPr>
        <w:t xml:space="preserve">Code of Practice on </w:t>
      </w:r>
      <w:r w:rsidR="003453E2">
        <w:rPr>
          <w:i/>
        </w:rPr>
        <w:t>External Examining</w:t>
      </w:r>
      <w:r w:rsidR="00A754E2">
        <w:rPr>
          <w:i/>
        </w:rPr>
        <w:t xml:space="preserve"> of Taught Programmes</w:t>
      </w:r>
    </w:p>
    <w:p w14:paraId="07C8AFDD" w14:textId="2B3B2F55" w:rsidR="00CA7FE2" w:rsidRPr="00E264C4" w:rsidRDefault="000453DC" w:rsidP="00CA7FE2">
      <w:pPr>
        <w:pStyle w:val="CoPborderheading"/>
        <w:rPr>
          <w:rFonts w:hint="eastAsia"/>
        </w:rPr>
      </w:pPr>
      <w:bookmarkStart w:id="6" w:name="_Toc426474152"/>
      <w:r>
        <w:lastRenderedPageBreak/>
        <w:t>A</w:t>
      </w:r>
      <w:r w:rsidR="00CA7FE2" w:rsidRPr="00E264C4">
        <w:t>ttendance and Progress in Studies</w:t>
      </w:r>
      <w:bookmarkEnd w:id="6"/>
    </w:p>
    <w:p w14:paraId="20540A99" w14:textId="278FE845" w:rsidR="00CA7FE2" w:rsidRDefault="00B85A18" w:rsidP="000B7AF2">
      <w:pPr>
        <w:pStyle w:val="CoPNumberlevel1"/>
      </w:pPr>
      <w:r>
        <w:t xml:space="preserve">Students are expected to attend all classes and submit </w:t>
      </w:r>
      <w:r w:rsidR="000B7AF2">
        <w:t xml:space="preserve">assessments </w:t>
      </w:r>
      <w:r>
        <w:t>in accordance with published assessment deadlines.</w:t>
      </w:r>
    </w:p>
    <w:p w14:paraId="2F45F448" w14:textId="791D7832" w:rsidR="00774591" w:rsidRPr="003453E2" w:rsidRDefault="00CB6E5D" w:rsidP="00774591">
      <w:pPr>
        <w:pStyle w:val="CoPNumberlevel1"/>
      </w:pPr>
      <w:r>
        <w:t xml:space="preserve">Issues with </w:t>
      </w:r>
      <w:r w:rsidR="000B7AF2">
        <w:t xml:space="preserve">a student’s progress may </w:t>
      </w:r>
      <w:r>
        <w:t xml:space="preserve">often come to light in the first instance </w:t>
      </w:r>
      <w:r w:rsidR="00685657">
        <w:t xml:space="preserve">through informal channels (e.g. unsatisfactory attendance or poor </w:t>
      </w:r>
      <w:r>
        <w:t>engagement in class work</w:t>
      </w:r>
      <w:r w:rsidR="00685657">
        <w:t xml:space="preserve">).  In such cases, the Director of Studies </w:t>
      </w:r>
      <w:r w:rsidR="00774591">
        <w:t>will meet informally with the student to determine whether there are underlying problems that could be addressed th</w:t>
      </w:r>
      <w:r w:rsidR="00591330">
        <w:t>r</w:t>
      </w:r>
      <w:r w:rsidR="00774591">
        <w:t xml:space="preserve">ough additional academic or pastoral support.  </w:t>
      </w:r>
      <w:r w:rsidR="000C637A">
        <w:t>The Director of Studies may refer the student to other sources of support in LSTM (e.g. the Personal Tutor or the</w:t>
      </w:r>
      <w:r w:rsidR="00591330">
        <w:t xml:space="preserve"> Student Experience Officer).</w:t>
      </w:r>
    </w:p>
    <w:p w14:paraId="261195B9" w14:textId="781A46A7" w:rsidR="00CA7FE2" w:rsidRDefault="00E221A6" w:rsidP="00D34F68">
      <w:pPr>
        <w:pStyle w:val="CoPNumberlevel1"/>
      </w:pPr>
      <w:r>
        <w:t>F</w:t>
      </w:r>
      <w:r w:rsidR="00CB6E5D">
        <w:t xml:space="preserve">ormal procedures may be instigated if a student does not respond satisfactorily to informal measures or when </w:t>
      </w:r>
      <w:r w:rsidR="00DD6549">
        <w:t>concern</w:t>
      </w:r>
      <w:r w:rsidR="00CB6E5D">
        <w:t>s are highlighted by a</w:t>
      </w:r>
      <w:r>
        <w:t xml:space="preserve">n MSc </w:t>
      </w:r>
      <w:r w:rsidR="00262105">
        <w:t>Progress Board</w:t>
      </w:r>
      <w:r w:rsidR="00214709">
        <w:t xml:space="preserve"> (Section 6.4)</w:t>
      </w:r>
    </w:p>
    <w:p w14:paraId="4A3D3D76" w14:textId="58FA4432" w:rsidR="000B7AF2" w:rsidRPr="00262105" w:rsidRDefault="00323310" w:rsidP="000B7AF2">
      <w:pPr>
        <w:pStyle w:val="CoPNumberlevel1"/>
      </w:pPr>
      <w:r>
        <w:t>A s</w:t>
      </w:r>
      <w:r w:rsidR="00DD6549">
        <w:t>tudent</w:t>
      </w:r>
      <w:r w:rsidR="00BB3FF3">
        <w:t xml:space="preserve"> </w:t>
      </w:r>
      <w:r w:rsidR="00DD6549">
        <w:t>who feel</w:t>
      </w:r>
      <w:r>
        <w:t xml:space="preserve">s </w:t>
      </w:r>
      <w:r w:rsidR="00DD6549">
        <w:t xml:space="preserve">that their progress has been adversely affected by serious personal circumstances should submit a claim for </w:t>
      </w:r>
      <w:r w:rsidR="001E1DB4">
        <w:t>extenu</w:t>
      </w:r>
      <w:r w:rsidR="00DD6549">
        <w:t xml:space="preserve">ating circumstances </w:t>
      </w:r>
      <w:r w:rsidR="006E402A">
        <w:t xml:space="preserve">with supporting evidence </w:t>
      </w:r>
      <w:r w:rsidR="00DD6549">
        <w:t>in accordanc</w:t>
      </w:r>
      <w:r w:rsidR="000B7AF2">
        <w:t xml:space="preserve">e with the </w:t>
      </w:r>
      <w:r w:rsidR="00A754E2">
        <w:rPr>
          <w:i/>
        </w:rPr>
        <w:t xml:space="preserve">Procedure for Consideration of </w:t>
      </w:r>
      <w:r w:rsidR="001E1DB4">
        <w:rPr>
          <w:i/>
        </w:rPr>
        <w:t>Extenu</w:t>
      </w:r>
      <w:r w:rsidR="00A754E2">
        <w:rPr>
          <w:i/>
        </w:rPr>
        <w:t>ating C</w:t>
      </w:r>
      <w:r w:rsidR="000B7AF2" w:rsidRPr="000B7AF2">
        <w:rPr>
          <w:i/>
        </w:rPr>
        <w:t>ircumstances</w:t>
      </w:r>
      <w:r w:rsidR="000B7AF2">
        <w:rPr>
          <w:i/>
        </w:rPr>
        <w:t>.</w:t>
      </w:r>
    </w:p>
    <w:p w14:paraId="622D3477" w14:textId="77777777" w:rsidR="00262105" w:rsidRDefault="00262105" w:rsidP="00262105">
      <w:pPr>
        <w:pStyle w:val="CoPborderheading"/>
        <w:rPr>
          <w:rFonts w:hint="eastAsia"/>
        </w:rPr>
      </w:pPr>
      <w:bookmarkStart w:id="7" w:name="_Toc426474153"/>
      <w:r>
        <w:t>Module Review Boards</w:t>
      </w:r>
      <w:bookmarkEnd w:id="7"/>
      <w:r>
        <w:t xml:space="preserve"> </w:t>
      </w:r>
    </w:p>
    <w:p w14:paraId="7B42B010" w14:textId="0DD1A260" w:rsidR="00262105" w:rsidRDefault="00262105" w:rsidP="00262105">
      <w:pPr>
        <w:pStyle w:val="CoPNumberlevel1"/>
      </w:pPr>
      <w:r>
        <w:t>The MSc Module Review Board (MRB) will meet at the end of Semesters 1 and 2.  The membership will be the D</w:t>
      </w:r>
      <w:r w:rsidR="00E155F1">
        <w:t>ean</w:t>
      </w:r>
      <w:r>
        <w:t xml:space="preserve"> of Education, the convenors of all modules under consideration and the relevant Directors of Studies.  Staff who are unable to attend must ensure that the MRB is made aware of any special circumstances relating to their module(s), either by briefing a deputy to attend the meeting in their place or by writing to the D</w:t>
      </w:r>
      <w:r w:rsidR="00E155F1">
        <w:t>ean</w:t>
      </w:r>
      <w:r>
        <w:t xml:space="preserve"> of Education.</w:t>
      </w:r>
    </w:p>
    <w:p w14:paraId="48695929" w14:textId="77777777" w:rsidR="00262105" w:rsidRPr="005B3AFA" w:rsidRDefault="00262105" w:rsidP="00262105">
      <w:pPr>
        <w:pStyle w:val="CoPNumberlevel1"/>
      </w:pPr>
      <w:r>
        <w:t xml:space="preserve">The MRB will </w:t>
      </w:r>
      <w:r w:rsidRPr="005B3AFA">
        <w:t xml:space="preserve">consider the average mark and the mark distribution for each </w:t>
      </w:r>
      <w:r>
        <w:t xml:space="preserve">assignment and </w:t>
      </w:r>
      <w:r w:rsidRPr="005B3AFA">
        <w:t xml:space="preserve">ensure that any unusual patterns of distribution of marks are </w:t>
      </w:r>
      <w:r>
        <w:t>brought to the attention of the Board of Examiners.</w:t>
      </w:r>
    </w:p>
    <w:p w14:paraId="0C8E63C6" w14:textId="77777777" w:rsidR="00262105" w:rsidRDefault="00262105" w:rsidP="00262105">
      <w:pPr>
        <w:pStyle w:val="CoPNumberlevel1"/>
      </w:pPr>
      <w:r>
        <w:t xml:space="preserve">External Examiners will attend a meeting of the MRB immediately before the Final Board of Examiners at which the marks for all modules will be ratified.  Each module should be reviewed in turn using mark lists displaying the marks for all students registered for a </w:t>
      </w:r>
      <w:proofErr w:type="gramStart"/>
      <w:r>
        <w:t>particular module</w:t>
      </w:r>
      <w:proofErr w:type="gramEnd"/>
      <w:r>
        <w:t xml:space="preserve"> irrespective of their programme of study.  </w:t>
      </w:r>
      <w:r w:rsidRPr="00925385">
        <w:t xml:space="preserve">External Examiners should be </w:t>
      </w:r>
      <w:r>
        <w:t xml:space="preserve">invited </w:t>
      </w:r>
      <w:r w:rsidRPr="00925385">
        <w:t>to comment on the content and assessment of each module</w:t>
      </w:r>
      <w:r>
        <w:t xml:space="preserve"> and to confirm that the marking and moderation procedures have been followed in accordance with the </w:t>
      </w:r>
      <w:r w:rsidRPr="005B3AFA">
        <w:rPr>
          <w:i/>
        </w:rPr>
        <w:t>Code of Practice on Assessment and Feedback</w:t>
      </w:r>
      <w:r>
        <w:t>.</w:t>
      </w:r>
    </w:p>
    <w:p w14:paraId="4D96494B" w14:textId="77777777" w:rsidR="00262105" w:rsidRPr="005B3AFA" w:rsidRDefault="00262105" w:rsidP="00262105">
      <w:pPr>
        <w:pStyle w:val="CoPNumberlevel1"/>
      </w:pPr>
      <w:r>
        <w:t>W</w:t>
      </w:r>
      <w:r w:rsidRPr="005B3AFA">
        <w:t>ith the approval of the External Examiner(s)</w:t>
      </w:r>
      <w:r>
        <w:t xml:space="preserve">, </w:t>
      </w:r>
      <w:r w:rsidRPr="005B3AFA">
        <w:t>the M</w:t>
      </w:r>
      <w:r>
        <w:t xml:space="preserve">RB </w:t>
      </w:r>
      <w:r w:rsidRPr="005B3AFA">
        <w:t>may make such modifications to the marks for all students on the module</w:t>
      </w:r>
      <w:r>
        <w:t xml:space="preserve"> as are considered appropriate.</w:t>
      </w:r>
    </w:p>
    <w:p w14:paraId="19869C16" w14:textId="25996601" w:rsidR="00262105" w:rsidRDefault="00262105" w:rsidP="00262105">
      <w:pPr>
        <w:pStyle w:val="CoPNumberlevel1"/>
      </w:pPr>
      <w:r>
        <w:lastRenderedPageBreak/>
        <w:t xml:space="preserve">The MRB will confirm recommendations from Academic Integrity Panels for offences under the </w:t>
      </w:r>
      <w:r w:rsidRPr="005B3AFA">
        <w:rPr>
          <w:i/>
        </w:rPr>
        <w:t xml:space="preserve">Code of Practice </w:t>
      </w:r>
      <w:r w:rsidR="00E46155">
        <w:rPr>
          <w:i/>
        </w:rPr>
        <w:t>on</w:t>
      </w:r>
      <w:r w:rsidRPr="005B3AFA">
        <w:rPr>
          <w:i/>
        </w:rPr>
        <w:t xml:space="preserve"> Academic Integrity</w:t>
      </w:r>
      <w:r>
        <w:t>.</w:t>
      </w:r>
    </w:p>
    <w:p w14:paraId="5C1EC9AA" w14:textId="77777777" w:rsidR="00262105" w:rsidRDefault="00262105" w:rsidP="00262105">
      <w:pPr>
        <w:pStyle w:val="CoPNumberlevel1"/>
      </w:pPr>
      <w:r>
        <w:t>Following final approval of module marks by the MRB, the marks cannot be changed.  The External Examiner(s) and the Chair of the MRB will sign off the approved module marks list.  If an error is found subsequently in the calculation of a mark, it may be changed following formal approval by the External Examiner.</w:t>
      </w:r>
    </w:p>
    <w:p w14:paraId="2BC9B9B8" w14:textId="097E3B61" w:rsidR="00774591" w:rsidRDefault="00774591" w:rsidP="00774591">
      <w:pPr>
        <w:pStyle w:val="CoPborderheading"/>
        <w:rPr>
          <w:rFonts w:hint="eastAsia"/>
        </w:rPr>
      </w:pPr>
      <w:bookmarkStart w:id="8" w:name="_Toc426474154"/>
      <w:r w:rsidRPr="00BC7FCE">
        <w:t xml:space="preserve">Progress </w:t>
      </w:r>
      <w:r>
        <w:t>Board</w:t>
      </w:r>
      <w:bookmarkEnd w:id="8"/>
    </w:p>
    <w:p w14:paraId="2275E6C4" w14:textId="49D3FC54" w:rsidR="00774591" w:rsidRDefault="00C53AE8" w:rsidP="007125C4">
      <w:pPr>
        <w:pStyle w:val="CoPNumberlevel1"/>
      </w:pPr>
      <w:r>
        <w:t xml:space="preserve">The Progress Board </w:t>
      </w:r>
      <w:r w:rsidR="00774591">
        <w:t>will review</w:t>
      </w:r>
      <w:r>
        <w:t xml:space="preserve"> the performanc</w:t>
      </w:r>
      <w:r w:rsidR="00BB6EFF">
        <w:t xml:space="preserve">e </w:t>
      </w:r>
      <w:r>
        <w:t xml:space="preserve">of all MSc students on the taught modules </w:t>
      </w:r>
      <w:r w:rsidR="00774591">
        <w:t xml:space="preserve">at the end of </w:t>
      </w:r>
      <w:r w:rsidR="000C637A">
        <w:t>S</w:t>
      </w:r>
      <w:r w:rsidR="00774591">
        <w:t>emester</w:t>
      </w:r>
      <w:r w:rsidR="000C637A">
        <w:t>s 1 and 2.</w:t>
      </w:r>
      <w:r w:rsidR="00BB6EFF">
        <w:t xml:space="preserve">  </w:t>
      </w:r>
      <w:r w:rsidR="000C637A">
        <w:t>The membership will be the MSc Directors</w:t>
      </w:r>
      <w:r w:rsidR="00774591">
        <w:t xml:space="preserve"> of Studies</w:t>
      </w:r>
      <w:r w:rsidR="000C637A">
        <w:t xml:space="preserve"> and the </w:t>
      </w:r>
      <w:r w:rsidR="00774591">
        <w:t>D</w:t>
      </w:r>
      <w:r w:rsidR="00E155F1">
        <w:t>ean</w:t>
      </w:r>
      <w:r w:rsidR="00774591">
        <w:t xml:space="preserve"> of </w:t>
      </w:r>
      <w:r w:rsidR="000C637A">
        <w:t>Education</w:t>
      </w:r>
      <w:r w:rsidR="00774591">
        <w:t>.</w:t>
      </w:r>
    </w:p>
    <w:p w14:paraId="11CB9E4C" w14:textId="377DEC32" w:rsidR="00E221A6" w:rsidRDefault="00E221A6" w:rsidP="00E221A6">
      <w:pPr>
        <w:pStyle w:val="CoPNumberlevel1"/>
      </w:pPr>
      <w:r>
        <w:t xml:space="preserve">The Progress Board will determine which reassessment opportunities </w:t>
      </w:r>
      <w:r w:rsidR="00FD786B">
        <w:t xml:space="preserve">will </w:t>
      </w:r>
      <w:r>
        <w:t xml:space="preserve">be offered </w:t>
      </w:r>
      <w:r w:rsidR="00FD786B">
        <w:t>to students who have failed assignments</w:t>
      </w:r>
      <w:r w:rsidR="00F06C2B">
        <w:t xml:space="preserve">, </w:t>
      </w:r>
      <w:proofErr w:type="gramStart"/>
      <w:r w:rsidR="00F06C2B">
        <w:t>taking into account</w:t>
      </w:r>
      <w:proofErr w:type="gramEnd"/>
      <w:r w:rsidR="00F06C2B">
        <w:t xml:space="preserve"> recommendations from the </w:t>
      </w:r>
      <w:r w:rsidR="001E1DB4">
        <w:t>Extenu</w:t>
      </w:r>
      <w:r w:rsidR="009F0E7F">
        <w:t xml:space="preserve">ating </w:t>
      </w:r>
      <w:r w:rsidR="00F06C2B">
        <w:t>C</w:t>
      </w:r>
      <w:r w:rsidR="009F0E7F">
        <w:t xml:space="preserve">ircumstances </w:t>
      </w:r>
      <w:r w:rsidR="00F06C2B">
        <w:t>C</w:t>
      </w:r>
      <w:r w:rsidR="009F0E7F">
        <w:t>ommittee</w:t>
      </w:r>
      <w:r w:rsidR="00F06C2B">
        <w:t xml:space="preserve">.  </w:t>
      </w:r>
      <w:r w:rsidR="00FD786B">
        <w:t xml:space="preserve">Students will </w:t>
      </w:r>
      <w:r>
        <w:t xml:space="preserve">normally </w:t>
      </w:r>
      <w:r w:rsidR="00FD786B">
        <w:t xml:space="preserve">be </w:t>
      </w:r>
      <w:r>
        <w:t xml:space="preserve">offered one reassessment opportunity for each failed </w:t>
      </w:r>
      <w:r w:rsidR="00925385">
        <w:t xml:space="preserve">MSc </w:t>
      </w:r>
      <w:r w:rsidR="00F06C2B">
        <w:t xml:space="preserve">module </w:t>
      </w:r>
      <w:r w:rsidR="00925385">
        <w:t xml:space="preserve">or for each component of a non-credit-bearing programme.  </w:t>
      </w:r>
      <w:r>
        <w:t xml:space="preserve">However, if </w:t>
      </w:r>
      <w:r w:rsidR="00EA6C7F">
        <w:t xml:space="preserve">the student has made no (or a trivial) </w:t>
      </w:r>
      <w:r w:rsidR="002B3F2C">
        <w:t xml:space="preserve">first attempt at an </w:t>
      </w:r>
      <w:r>
        <w:t xml:space="preserve">assignment, </w:t>
      </w:r>
      <w:r w:rsidR="00EA6C7F">
        <w:t xml:space="preserve">a reassessment opportunity may </w:t>
      </w:r>
      <w:r w:rsidR="002B3F2C">
        <w:t xml:space="preserve">not be offered. </w:t>
      </w:r>
    </w:p>
    <w:p w14:paraId="6303BB87" w14:textId="1B2D31B8" w:rsidR="00B240ED" w:rsidRDefault="00B240ED" w:rsidP="00D40407">
      <w:pPr>
        <w:pStyle w:val="CoPNumberlevel1"/>
      </w:pPr>
      <w:r>
        <w:t>Where there are concerns about a student’s academic performance on the programme, the student will be invited to attend a meeting with the D</w:t>
      </w:r>
      <w:r w:rsidR="00E155F1">
        <w:t>ean</w:t>
      </w:r>
      <w:r>
        <w:t xml:space="preserve"> of Education, the relevant Director of Studies and the Academic Registrar.  The purpose of the meeting will be to ensure that the student is aware of the concern</w:t>
      </w:r>
      <w:r w:rsidR="009E0A50">
        <w:t xml:space="preserve">s; </w:t>
      </w:r>
      <w:r>
        <w:t>understands the</w:t>
      </w:r>
      <w:r w:rsidR="009E0A50">
        <w:t xml:space="preserve"> academic consequences of continued poor performance; and is aware of options available for re-sitting failed assessments and, if applicable, for exiting with an intermediate award.</w:t>
      </w:r>
      <w:r>
        <w:t xml:space="preserve">  </w:t>
      </w:r>
      <w:r w:rsidR="009E0A50">
        <w:t>The Academic Registrar will provide the student with a written record of the meeting.</w:t>
      </w:r>
    </w:p>
    <w:p w14:paraId="58D6E529" w14:textId="213E0AB4" w:rsidR="00B54748" w:rsidRDefault="00BB6EFF" w:rsidP="00D40407">
      <w:pPr>
        <w:pStyle w:val="CoPNumberlevel1"/>
      </w:pPr>
      <w:r>
        <w:t>Whe</w:t>
      </w:r>
      <w:r w:rsidR="00635BEA">
        <w:t xml:space="preserve">re there is evidence that </w:t>
      </w:r>
      <w:r>
        <w:t>a student</w:t>
      </w:r>
      <w:r w:rsidR="00635BEA">
        <w:t xml:space="preserve"> is failing to engage satisfactorily with the programme (e.g. poor attendance)</w:t>
      </w:r>
      <w:r>
        <w:t xml:space="preserve">, </w:t>
      </w:r>
      <w:r w:rsidR="00CB6E5D">
        <w:t>t</w:t>
      </w:r>
      <w:r>
        <w:t xml:space="preserve">he Progress Board </w:t>
      </w:r>
      <w:r w:rsidR="00CB6E5D">
        <w:t>will r</w:t>
      </w:r>
      <w:r>
        <w:t xml:space="preserve">equest that </w:t>
      </w:r>
      <w:r w:rsidR="00B41719">
        <w:t xml:space="preserve">the student attend a formal </w:t>
      </w:r>
      <w:r w:rsidR="004D2A50">
        <w:t>Progress Panel w</w:t>
      </w:r>
      <w:r w:rsidR="00B41719">
        <w:t xml:space="preserve">ith </w:t>
      </w:r>
      <w:r>
        <w:t xml:space="preserve">the relevant Director of Studies, </w:t>
      </w:r>
      <w:r w:rsidR="00EA6C7F">
        <w:t xml:space="preserve">a member of academic staff not involved in teaching or assessing the student </w:t>
      </w:r>
      <w:r>
        <w:t>and the Academic Registrar.</w:t>
      </w:r>
      <w:r w:rsidR="00FD786B">
        <w:t xml:space="preserve"> </w:t>
      </w:r>
      <w:r w:rsidR="00591330">
        <w:t xml:space="preserve"> </w:t>
      </w:r>
      <w:r w:rsidR="00CB6E5D">
        <w:t>The p</w:t>
      </w:r>
      <w:r w:rsidR="00FD786B">
        <w:t xml:space="preserve">urpose of the </w:t>
      </w:r>
      <w:r w:rsidR="007C684C">
        <w:t xml:space="preserve">Panel </w:t>
      </w:r>
      <w:r w:rsidR="00C53AE8">
        <w:t>will be to advi</w:t>
      </w:r>
      <w:r w:rsidR="00E221A6">
        <w:t xml:space="preserve">se </w:t>
      </w:r>
      <w:r w:rsidR="00C53AE8">
        <w:t xml:space="preserve">the student on what is required </w:t>
      </w:r>
      <w:proofErr w:type="gramStart"/>
      <w:r w:rsidR="00C53AE8">
        <w:t>i</w:t>
      </w:r>
      <w:r w:rsidR="00635BEA">
        <w:t>n order to</w:t>
      </w:r>
      <w:proofErr w:type="gramEnd"/>
      <w:r w:rsidR="00635BEA">
        <w:t xml:space="preserve"> improve </w:t>
      </w:r>
      <w:r w:rsidR="00C53AE8">
        <w:t>and</w:t>
      </w:r>
      <w:r w:rsidR="00FD786B">
        <w:t xml:space="preserve">, if appropriate, </w:t>
      </w:r>
      <w:r w:rsidR="00C53AE8">
        <w:t xml:space="preserve">to </w:t>
      </w:r>
      <w:r w:rsidR="00B54748">
        <w:t xml:space="preserve">explain to </w:t>
      </w:r>
      <w:r w:rsidR="00C53AE8">
        <w:t xml:space="preserve">the student </w:t>
      </w:r>
      <w:r w:rsidR="009F0E7F">
        <w:t xml:space="preserve">the </w:t>
      </w:r>
      <w:r w:rsidR="00C53AE8">
        <w:t xml:space="preserve">options </w:t>
      </w:r>
      <w:r w:rsidR="009F0E7F">
        <w:t xml:space="preserve">available </w:t>
      </w:r>
      <w:r w:rsidR="00C53AE8">
        <w:t>to change registration status or to withdraw from the programme.</w:t>
      </w:r>
    </w:p>
    <w:p w14:paraId="669D4E58" w14:textId="58785A19" w:rsidR="00E221A6" w:rsidRDefault="00B41719" w:rsidP="00E221A6">
      <w:pPr>
        <w:pStyle w:val="CoPNumberlevel1"/>
      </w:pPr>
      <w:r>
        <w:t xml:space="preserve">The Academic Registrar will inform the </w:t>
      </w:r>
      <w:r w:rsidR="00635BEA">
        <w:t xml:space="preserve">Progress Board and the </w:t>
      </w:r>
      <w:r>
        <w:t>student in writing about the outcome o</w:t>
      </w:r>
      <w:r w:rsidR="00B54748">
        <w:t xml:space="preserve">f the </w:t>
      </w:r>
      <w:r w:rsidR="004D2A50">
        <w:t xml:space="preserve">Progress Panel, </w:t>
      </w:r>
      <w:r>
        <w:t xml:space="preserve">including </w:t>
      </w:r>
      <w:r w:rsidR="00635BEA">
        <w:t xml:space="preserve">any </w:t>
      </w:r>
      <w:r>
        <w:t xml:space="preserve">arrangements for monitoring improvement.  </w:t>
      </w:r>
      <w:r w:rsidR="00774591">
        <w:t xml:space="preserve">Students will normally be allowed to continue their programme of study and </w:t>
      </w:r>
      <w:r w:rsidR="009F0E7F">
        <w:t xml:space="preserve">to </w:t>
      </w:r>
      <w:r w:rsidR="00774591">
        <w:t xml:space="preserve">take any required reassessments.  However, </w:t>
      </w:r>
      <w:r>
        <w:t xml:space="preserve">if a student does </w:t>
      </w:r>
      <w:r w:rsidR="00774591">
        <w:t>not respond</w:t>
      </w:r>
      <w:r>
        <w:t xml:space="preserve"> satisfactorily </w:t>
      </w:r>
      <w:r w:rsidR="00774591">
        <w:t>to the requirements of</w:t>
      </w:r>
      <w:r>
        <w:t xml:space="preserve"> the </w:t>
      </w:r>
      <w:r w:rsidR="00FD786B">
        <w:t>Panel</w:t>
      </w:r>
      <w:r w:rsidR="00B54748">
        <w:t xml:space="preserve">, </w:t>
      </w:r>
      <w:r w:rsidR="00774591">
        <w:t xml:space="preserve">the </w:t>
      </w:r>
      <w:r w:rsidR="00B240ED">
        <w:t xml:space="preserve">Panel may recommend to the Progress Board that the </w:t>
      </w:r>
      <w:r>
        <w:t xml:space="preserve">student </w:t>
      </w:r>
      <w:r w:rsidR="007C684C">
        <w:t xml:space="preserve">be required </w:t>
      </w:r>
      <w:r>
        <w:t xml:space="preserve">to </w:t>
      </w:r>
      <w:r w:rsidR="00B54748">
        <w:t>withdraw from the programme</w:t>
      </w:r>
      <w:r w:rsidR="008725D3">
        <w:t xml:space="preserve">. For an MSc student, withdrawal would normally be at the </w:t>
      </w:r>
      <w:r w:rsidR="00B54748">
        <w:t xml:space="preserve">end of the taught component </w:t>
      </w:r>
      <w:r w:rsidR="008725D3">
        <w:t xml:space="preserve">without </w:t>
      </w:r>
      <w:r w:rsidR="00B54748">
        <w:t>proceed</w:t>
      </w:r>
      <w:r w:rsidR="008725D3">
        <w:t xml:space="preserve">ing to the </w:t>
      </w:r>
      <w:r w:rsidR="00B54748">
        <w:t xml:space="preserve">dissertation.  </w:t>
      </w:r>
      <w:r w:rsidR="00B240ED">
        <w:t>A</w:t>
      </w:r>
      <w:r w:rsidR="00E221A6">
        <w:t xml:space="preserve"> student </w:t>
      </w:r>
      <w:r w:rsidR="00B240ED">
        <w:t xml:space="preserve">cannot be required </w:t>
      </w:r>
      <w:r w:rsidR="00E221A6">
        <w:t>to withdraw or suspend studies for health or other personal reasons.</w:t>
      </w:r>
    </w:p>
    <w:p w14:paraId="5B567A9A" w14:textId="123D7D23" w:rsidR="004D2A50" w:rsidRDefault="00B54748" w:rsidP="004D2A50">
      <w:pPr>
        <w:pStyle w:val="CoPNumberlevel1"/>
      </w:pPr>
      <w:r>
        <w:lastRenderedPageBreak/>
        <w:t xml:space="preserve">A student </w:t>
      </w:r>
      <w:r w:rsidR="00FD786B">
        <w:t xml:space="preserve">may appeal against a requirement to </w:t>
      </w:r>
      <w:r>
        <w:t>withdraw from the programme</w:t>
      </w:r>
      <w:r w:rsidR="00FD786B">
        <w:t xml:space="preserve">. </w:t>
      </w:r>
      <w:r w:rsidR="00591330">
        <w:t xml:space="preserve"> </w:t>
      </w:r>
      <w:r w:rsidR="007C684C">
        <w:t xml:space="preserve">Appeals will be considered only </w:t>
      </w:r>
      <w:r>
        <w:t xml:space="preserve">on the following </w:t>
      </w:r>
      <w:r w:rsidR="004D2A50">
        <w:t>grounds:</w:t>
      </w:r>
    </w:p>
    <w:p w14:paraId="27556B83" w14:textId="77777777" w:rsidR="004D2A50" w:rsidRDefault="00B54748" w:rsidP="004D2A50">
      <w:pPr>
        <w:pStyle w:val="CoPNumberlevel2"/>
      </w:pPr>
      <w:r>
        <w:t>That assessments were not conducted in accordance with the regulations</w:t>
      </w:r>
      <w:r w:rsidR="004D2A50">
        <w:t xml:space="preserve"> </w:t>
      </w:r>
      <w:r>
        <w:t>g</w:t>
      </w:r>
      <w:r w:rsidR="004D2A50">
        <w:t>overning the programme of study</w:t>
      </w:r>
    </w:p>
    <w:p w14:paraId="64A6ACAC" w14:textId="77777777" w:rsidR="004D2A50" w:rsidRDefault="00B54748" w:rsidP="004D2A50">
      <w:pPr>
        <w:pStyle w:val="CoPNumberlevel2"/>
      </w:pPr>
      <w:r>
        <w:t>That some other mat</w:t>
      </w:r>
      <w:r w:rsidR="004D2A50">
        <w:t>erial irregularity has occurred</w:t>
      </w:r>
    </w:p>
    <w:p w14:paraId="659D028E" w14:textId="6EFCB9B3" w:rsidR="004D2A50" w:rsidRDefault="00B54748" w:rsidP="004D2A50">
      <w:pPr>
        <w:pStyle w:val="CoPNumberlevel2"/>
      </w:pPr>
      <w:r>
        <w:t xml:space="preserve">That performance in assessments was adversely affected by </w:t>
      </w:r>
      <w:r w:rsidR="001E1DB4">
        <w:t>extenu</w:t>
      </w:r>
      <w:r w:rsidR="004D2A50">
        <w:t xml:space="preserve">ating circumstances </w:t>
      </w:r>
      <w:r w:rsidR="00E221A6">
        <w:t>that</w:t>
      </w:r>
      <w:r>
        <w:t>, for valid reasons, the student was unable to divulge before</w:t>
      </w:r>
      <w:r w:rsidR="004D2A50">
        <w:t xml:space="preserve"> </w:t>
      </w:r>
      <w:r>
        <w:t xml:space="preserve">the </w:t>
      </w:r>
      <w:r w:rsidR="004D2A50">
        <w:t xml:space="preserve">Progress </w:t>
      </w:r>
      <w:r w:rsidR="00F06C2B">
        <w:t>Board</w:t>
      </w:r>
      <w:r w:rsidR="00E221A6">
        <w:t xml:space="preserve"> </w:t>
      </w:r>
      <w:r>
        <w:t>met to con</w:t>
      </w:r>
      <w:r w:rsidR="004D2A50">
        <w:t>sider the student’s performance</w:t>
      </w:r>
    </w:p>
    <w:p w14:paraId="40778CFE" w14:textId="5C151624" w:rsidR="00E221A6" w:rsidRDefault="00E221A6" w:rsidP="00F06C2B">
      <w:pPr>
        <w:pStyle w:val="CoPNumberlevel1"/>
      </w:pPr>
      <w:r>
        <w:t xml:space="preserve">The appeal will be heard by an </w:t>
      </w:r>
      <w:r w:rsidR="007C684C">
        <w:t xml:space="preserve">Appeals Panel comprising the </w:t>
      </w:r>
      <w:r w:rsidR="00B240ED">
        <w:t xml:space="preserve">Chair of the LSTM Board of Trustees </w:t>
      </w:r>
      <w:r w:rsidR="007C684C">
        <w:t xml:space="preserve">and two </w:t>
      </w:r>
      <w:r w:rsidR="00B240ED">
        <w:t xml:space="preserve">LSTM </w:t>
      </w:r>
      <w:r w:rsidR="007C684C">
        <w:t xml:space="preserve">academic staff </w:t>
      </w:r>
      <w:r w:rsidR="00B240ED">
        <w:t xml:space="preserve">at professorial level </w:t>
      </w:r>
      <w:r w:rsidR="007C684C">
        <w:t xml:space="preserve">who </w:t>
      </w:r>
      <w:r w:rsidR="00B240ED">
        <w:t xml:space="preserve">have </w:t>
      </w:r>
      <w:r w:rsidR="007C684C">
        <w:t xml:space="preserve">not </w:t>
      </w:r>
      <w:r w:rsidR="00B240ED">
        <w:t xml:space="preserve">been </w:t>
      </w:r>
      <w:r w:rsidR="007C684C">
        <w:t xml:space="preserve">involved in teaching or assessing the student concerned.  The </w:t>
      </w:r>
      <w:r w:rsidR="00B240ED">
        <w:t xml:space="preserve">Panel </w:t>
      </w:r>
      <w:r w:rsidR="007C684C">
        <w:t xml:space="preserve">will determine the outcome of the appeal based on </w:t>
      </w:r>
      <w:r w:rsidR="005A68E5">
        <w:t xml:space="preserve">evidence </w:t>
      </w:r>
      <w:r w:rsidR="007C684C">
        <w:t>presented by the D</w:t>
      </w:r>
      <w:r w:rsidR="00E155F1">
        <w:t>ean</w:t>
      </w:r>
      <w:r w:rsidR="007C684C">
        <w:t xml:space="preserve"> of Education and any other investigations it deems necessary.</w:t>
      </w:r>
      <w:r>
        <w:t xml:space="preserve"> </w:t>
      </w:r>
      <w:r w:rsidR="00591330">
        <w:t xml:space="preserve"> </w:t>
      </w:r>
      <w:r w:rsidR="007C684C">
        <w:t xml:space="preserve">The student must be informed that the </w:t>
      </w:r>
      <w:r w:rsidR="005A68E5">
        <w:t xml:space="preserve">meeting of the </w:t>
      </w:r>
      <w:r w:rsidR="007C684C">
        <w:t>P</w:t>
      </w:r>
      <w:r w:rsidR="00B240ED">
        <w:t>anel</w:t>
      </w:r>
      <w:r w:rsidR="007C684C">
        <w:t xml:space="preserve"> is taking place and be given the opportunity to</w:t>
      </w:r>
      <w:r w:rsidR="00591330">
        <w:t xml:space="preserve"> make representation in person.</w:t>
      </w:r>
    </w:p>
    <w:p w14:paraId="0A819441" w14:textId="648F2823" w:rsidR="007C684C" w:rsidRDefault="007C684C" w:rsidP="00B240ED">
      <w:pPr>
        <w:pStyle w:val="CoPNumberlevel1"/>
      </w:pPr>
      <w:r>
        <w:t>The Academic Registrar will inform the student in writing of the outcome of an appeal</w:t>
      </w:r>
      <w:r w:rsidR="00B240ED">
        <w:t xml:space="preserve"> and will issue a Completion of Procedures letter</w:t>
      </w:r>
      <w:r>
        <w:t>.</w:t>
      </w:r>
      <w:r w:rsidR="00E221A6">
        <w:t xml:space="preserve">  </w:t>
      </w:r>
      <w:r>
        <w:t xml:space="preserve">A student who is dissatisfied with this outcome may make further appeal to the Office of the Independent Adjudicator </w:t>
      </w:r>
      <w:r w:rsidR="00B240ED">
        <w:t xml:space="preserve">for Higher Education. Further details and advice on how to do this are available from the OIA website </w:t>
      </w:r>
      <w:hyperlink r:id="rId9" w:history="1">
        <w:r w:rsidR="00B240ED" w:rsidRPr="00C51BF1">
          <w:rPr>
            <w:rStyle w:val="Hyperlink"/>
          </w:rPr>
          <w:t>www.oiahe.org.uk</w:t>
        </w:r>
      </w:hyperlink>
      <w:r w:rsidR="00B240ED">
        <w:rPr>
          <w:rStyle w:val="Hyperlink"/>
        </w:rPr>
        <w:t>.</w:t>
      </w:r>
      <w:r w:rsidR="00B240ED">
        <w:t xml:space="preserve"> </w:t>
      </w:r>
    </w:p>
    <w:p w14:paraId="3B3C097F" w14:textId="2A5C6E5C" w:rsidR="005A68E5" w:rsidRDefault="001E1DB4" w:rsidP="005A68E5">
      <w:pPr>
        <w:pStyle w:val="CoPborderheading"/>
        <w:rPr>
          <w:rFonts w:hint="eastAsia"/>
        </w:rPr>
      </w:pPr>
      <w:bookmarkStart w:id="9" w:name="_Toc426474155"/>
      <w:r>
        <w:t>Extenu</w:t>
      </w:r>
      <w:r w:rsidR="005A68E5" w:rsidRPr="00252694">
        <w:t>ating Circumstances Committee</w:t>
      </w:r>
      <w:bookmarkEnd w:id="9"/>
    </w:p>
    <w:p w14:paraId="094522DC" w14:textId="523F0192" w:rsidR="005A68E5" w:rsidRDefault="005A68E5" w:rsidP="005A68E5">
      <w:pPr>
        <w:pStyle w:val="CoPNumberlevel1"/>
      </w:pPr>
      <w:r>
        <w:t xml:space="preserve">For all taught programmes, a meeting of the </w:t>
      </w:r>
      <w:r w:rsidR="001E1DB4">
        <w:t>E</w:t>
      </w:r>
      <w:r>
        <w:t xml:space="preserve">CC will be held prior to the meeting of the Final Board of Examiners.  For MSc programmes, the </w:t>
      </w:r>
      <w:r w:rsidR="001E1DB4">
        <w:t>E</w:t>
      </w:r>
      <w:r>
        <w:t xml:space="preserve">CC will meet additionally at the ends of Semester 1 and 2.  Under exceptional circumstances, a claim for </w:t>
      </w:r>
      <w:r w:rsidR="001E1DB4">
        <w:t>extenu</w:t>
      </w:r>
      <w:r>
        <w:t xml:space="preserve">ating circumstances may be considered by the </w:t>
      </w:r>
      <w:r w:rsidR="001E1DB4">
        <w:t>E</w:t>
      </w:r>
      <w:r>
        <w:t xml:space="preserve">CC outside the normal scheduled meeting if there is a reason why the outcome needs to be decided immediately.  The membership of the </w:t>
      </w:r>
      <w:r w:rsidR="001E1DB4">
        <w:t>E</w:t>
      </w:r>
      <w:r>
        <w:t>CC will be the D</w:t>
      </w:r>
      <w:r w:rsidR="00E155F1">
        <w:t>ean</w:t>
      </w:r>
      <w:r>
        <w:t xml:space="preserve"> of Education, the Director of Studies and at least one other member of academic staff.  The external examiner will be provided with the minutes and may attend in person.</w:t>
      </w:r>
    </w:p>
    <w:p w14:paraId="3C56FD9B" w14:textId="2D026941" w:rsidR="005A68E5" w:rsidRDefault="005A68E5" w:rsidP="005A68E5">
      <w:pPr>
        <w:pStyle w:val="CoPNumberlevel1"/>
      </w:pPr>
      <w:r>
        <w:t xml:space="preserve">Students will be informed through the virtual learning environment of the date of </w:t>
      </w:r>
      <w:r w:rsidR="0073787A">
        <w:t>E</w:t>
      </w:r>
      <w:r>
        <w:t xml:space="preserve">CC.  Personal tutors and Director of Studies who are made aware of </w:t>
      </w:r>
      <w:r w:rsidR="0073787A">
        <w:t>extenu</w:t>
      </w:r>
      <w:r>
        <w:t>ating circumstances should advise students on how to submit a claim.</w:t>
      </w:r>
    </w:p>
    <w:p w14:paraId="704BF92C" w14:textId="5FE53408" w:rsidR="005A68E5" w:rsidRDefault="005A68E5" w:rsidP="005A68E5">
      <w:pPr>
        <w:pStyle w:val="CoPNumberlevel1"/>
      </w:pPr>
      <w:r>
        <w:t xml:space="preserve">For accepted claims, the </w:t>
      </w:r>
      <w:r w:rsidR="0073787A">
        <w:t>E</w:t>
      </w:r>
      <w:r>
        <w:t xml:space="preserve">CC will make recommendations for action to be taken by the Board of Examiners.  For MSc programmes, the recommendations of the </w:t>
      </w:r>
      <w:r w:rsidR="0073787A">
        <w:t>E</w:t>
      </w:r>
      <w:r>
        <w:t xml:space="preserve">CC with respect to taught modules will be considered by the Progress Boards at the ends of Semesters 1 and 2 </w:t>
      </w:r>
      <w:proofErr w:type="gramStart"/>
      <w:r>
        <w:t>in order to</w:t>
      </w:r>
      <w:proofErr w:type="gramEnd"/>
      <w:r>
        <w:t xml:space="preserve"> allow students to undertake reassessments prior to the Final Board of Examiners.  Recommendations with respect to the dissertation will be considered at the Final Board of Examiners.  For non-credit-bearing programmes, the recommendations of the </w:t>
      </w:r>
      <w:r w:rsidR="0073787A">
        <w:t>E</w:t>
      </w:r>
      <w:r>
        <w:t>CC will be considered at the Final Board of Examiners.</w:t>
      </w:r>
    </w:p>
    <w:p w14:paraId="2DA31355" w14:textId="29C5E9AC" w:rsidR="005A68E5" w:rsidRDefault="005A68E5" w:rsidP="005A68E5">
      <w:pPr>
        <w:pStyle w:val="CoPNumberlevel1"/>
      </w:pPr>
      <w:r>
        <w:lastRenderedPageBreak/>
        <w:t xml:space="preserve">Students will be informed of the outcome of a claim for </w:t>
      </w:r>
      <w:r w:rsidR="0073787A">
        <w:t>extenu</w:t>
      </w:r>
      <w:r>
        <w:t>ating circumstances as soon as possible after the meeting has taken place.</w:t>
      </w:r>
    </w:p>
    <w:p w14:paraId="64297194" w14:textId="07894626" w:rsidR="005A68E5" w:rsidRPr="00E73DAE" w:rsidRDefault="005A68E5" w:rsidP="005A68E5">
      <w:pPr>
        <w:pStyle w:val="CoPNumberlevel1"/>
      </w:pPr>
      <w:r>
        <w:t xml:space="preserve">Further information on </w:t>
      </w:r>
      <w:r w:rsidR="0073787A">
        <w:t>extenu</w:t>
      </w:r>
      <w:r>
        <w:t xml:space="preserve">ating circumstances can be found in the </w:t>
      </w:r>
      <w:r>
        <w:rPr>
          <w:i/>
        </w:rPr>
        <w:t xml:space="preserve">Code of Practice </w:t>
      </w:r>
      <w:r w:rsidRPr="00323310">
        <w:rPr>
          <w:i/>
        </w:rPr>
        <w:t>on Assessment and Feedback.</w:t>
      </w:r>
    </w:p>
    <w:p w14:paraId="7FF209C0" w14:textId="725BC6AF" w:rsidR="00925385" w:rsidRPr="00E264C4" w:rsidRDefault="00AA545E" w:rsidP="00925385">
      <w:pPr>
        <w:pStyle w:val="CoPborderheading"/>
        <w:rPr>
          <w:rFonts w:hint="eastAsia"/>
        </w:rPr>
      </w:pPr>
      <w:bookmarkStart w:id="10" w:name="_Toc426474156"/>
      <w:r>
        <w:t xml:space="preserve">Final </w:t>
      </w:r>
      <w:r w:rsidR="00925385">
        <w:t>Boards of Examiners</w:t>
      </w:r>
      <w:bookmarkEnd w:id="10"/>
    </w:p>
    <w:p w14:paraId="036D1692" w14:textId="7680381C" w:rsidR="00925385" w:rsidRDefault="00925385" w:rsidP="00925385">
      <w:pPr>
        <w:pStyle w:val="CoPNumberlevel1"/>
      </w:pPr>
      <w:r>
        <w:t>Eac</w:t>
      </w:r>
      <w:r w:rsidR="002A621D">
        <w:t>h taught programme will hold a F</w:t>
      </w:r>
      <w:r>
        <w:t>inal Board of Examiners at the end of the programme</w:t>
      </w:r>
      <w:r w:rsidR="002A621D">
        <w:t xml:space="preserve">.  </w:t>
      </w:r>
      <w:r w:rsidR="00111E4E">
        <w:t>All staff who have made a significant contribution to teaching on the pro</w:t>
      </w:r>
      <w:r w:rsidR="00591330">
        <w:t>gramme are expected to attend.</w:t>
      </w:r>
    </w:p>
    <w:p w14:paraId="0E3D7281" w14:textId="7D5576B9" w:rsidR="00925385" w:rsidRDefault="00925385" w:rsidP="003B614F">
      <w:pPr>
        <w:pStyle w:val="CoPNumberlevel1"/>
      </w:pPr>
      <w:r>
        <w:t>Consideration will be given to:</w:t>
      </w:r>
    </w:p>
    <w:p w14:paraId="665E7A21" w14:textId="77777777" w:rsidR="00925385" w:rsidRDefault="00925385" w:rsidP="00925385">
      <w:pPr>
        <w:pStyle w:val="CoPNumberlevel2"/>
      </w:pPr>
      <w:r>
        <w:t>Overview of assessment marks and comparison with results from previous years</w:t>
      </w:r>
    </w:p>
    <w:p w14:paraId="518037D4" w14:textId="0B4E0EA8" w:rsidR="00925385" w:rsidRDefault="00925385" w:rsidP="00925385">
      <w:pPr>
        <w:pStyle w:val="CoPNumberlevel2"/>
      </w:pPr>
      <w:r>
        <w:t xml:space="preserve">Confirmation by external examiners of </w:t>
      </w:r>
      <w:r w:rsidR="00111E4E">
        <w:t xml:space="preserve">the </w:t>
      </w:r>
      <w:r>
        <w:t>academic quality and standards</w:t>
      </w:r>
      <w:r w:rsidR="00111E4E">
        <w:t xml:space="preserve"> of the programme</w:t>
      </w:r>
    </w:p>
    <w:p w14:paraId="3EEA92D0" w14:textId="77777777" w:rsidR="00925385" w:rsidRDefault="00925385" w:rsidP="00925385">
      <w:pPr>
        <w:pStyle w:val="CoPNumberlevel2"/>
      </w:pPr>
      <w:r>
        <w:t>Consideration and confirmation of student marks and awarding of qualifications and grades</w:t>
      </w:r>
    </w:p>
    <w:p w14:paraId="480F0463" w14:textId="7A834021" w:rsidR="00925385" w:rsidRDefault="00925385" w:rsidP="00925385">
      <w:pPr>
        <w:pStyle w:val="CoPNumberlevel2"/>
      </w:pPr>
      <w:r>
        <w:t xml:space="preserve">Recommendations from the </w:t>
      </w:r>
      <w:r w:rsidR="0073787A">
        <w:t>E</w:t>
      </w:r>
      <w:r w:rsidR="00111E4E">
        <w:t xml:space="preserve">CC </w:t>
      </w:r>
      <w:r>
        <w:t>and confirmation of action to be taken</w:t>
      </w:r>
    </w:p>
    <w:p w14:paraId="3670E1D1" w14:textId="77777777" w:rsidR="00925385" w:rsidRDefault="00925385" w:rsidP="00925385">
      <w:pPr>
        <w:pStyle w:val="CoPNumberlevel2"/>
      </w:pPr>
      <w:r>
        <w:t>Feedback from external examiners</w:t>
      </w:r>
    </w:p>
    <w:p w14:paraId="2393F2CF" w14:textId="77777777" w:rsidR="00925385" w:rsidRDefault="00925385" w:rsidP="00925385">
      <w:pPr>
        <w:pStyle w:val="CoPNumberlevel2"/>
      </w:pPr>
      <w:r>
        <w:t>Feedback from internal examiners</w:t>
      </w:r>
    </w:p>
    <w:p w14:paraId="7DD6BE8B" w14:textId="77777777" w:rsidR="00925385" w:rsidRDefault="00925385" w:rsidP="00925385">
      <w:pPr>
        <w:pStyle w:val="CoPNumberlevel2"/>
      </w:pPr>
      <w:r>
        <w:t>Awarding of prizes</w:t>
      </w:r>
    </w:p>
    <w:p w14:paraId="3C6791EB" w14:textId="6F29B5E2" w:rsidR="006B0CCB" w:rsidRPr="00925B40" w:rsidRDefault="006B0CCB" w:rsidP="006B0CCB">
      <w:pPr>
        <w:pStyle w:val="CoPborderheading"/>
        <w:rPr>
          <w:rFonts w:hint="eastAsia"/>
        </w:rPr>
      </w:pPr>
      <w:bookmarkStart w:id="11" w:name="_Toc426474157"/>
      <w:r w:rsidRPr="00925B40">
        <w:t>A</w:t>
      </w:r>
      <w:r w:rsidR="00BB3FF3">
        <w:t>ssessment</w:t>
      </w:r>
      <w:r w:rsidR="00A754E2">
        <w:t xml:space="preserve"> A</w:t>
      </w:r>
      <w:r w:rsidRPr="00925B40">
        <w:t>ppeals</w:t>
      </w:r>
      <w:bookmarkEnd w:id="11"/>
    </w:p>
    <w:p w14:paraId="6C55B06C" w14:textId="64B2826F" w:rsidR="00A754E2" w:rsidRDefault="006B0CCB" w:rsidP="00DA0D7D">
      <w:pPr>
        <w:pStyle w:val="CoPNumberlevel1"/>
      </w:pPr>
      <w:r>
        <w:t xml:space="preserve">Students </w:t>
      </w:r>
      <w:r w:rsidR="00DA0D7D">
        <w:t xml:space="preserve">who wish to </w:t>
      </w:r>
      <w:r>
        <w:t>submit an appeal against</w:t>
      </w:r>
      <w:r w:rsidR="00DA0D7D">
        <w:t xml:space="preserve"> a</w:t>
      </w:r>
      <w:r>
        <w:t xml:space="preserve"> decision</w:t>
      </w:r>
      <w:r w:rsidR="00DA0D7D">
        <w:t xml:space="preserve"> of a </w:t>
      </w:r>
      <w:r w:rsidR="00AA545E">
        <w:t xml:space="preserve">Final </w:t>
      </w:r>
      <w:r w:rsidR="00DA0D7D">
        <w:t xml:space="preserve">Board of Examiners must do so in accordance with the </w:t>
      </w:r>
      <w:r w:rsidR="0073787A" w:rsidRPr="0073787A">
        <w:rPr>
          <w:i/>
        </w:rPr>
        <w:t>Procedure for Dealing with Academic Appeals (Taught Programmes</w:t>
      </w:r>
      <w:r w:rsidR="0073787A">
        <w:t>)</w:t>
      </w:r>
      <w:r w:rsidR="00DA0D7D">
        <w:t>.</w:t>
      </w:r>
    </w:p>
    <w:p w14:paraId="56862667" w14:textId="77777777" w:rsidR="00A754E2" w:rsidRDefault="00A754E2">
      <w:pPr>
        <w:rPr>
          <w:rFonts w:ascii="Arial" w:hAnsi="Arial" w:cs="Arial"/>
        </w:rPr>
      </w:pPr>
      <w:bookmarkStart w:id="12" w:name="_GoBack"/>
      <w:bookmarkEnd w:id="12"/>
      <w:r>
        <w:br w:type="page"/>
      </w:r>
    </w:p>
    <w:tbl>
      <w:tblP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29"/>
        <w:gridCol w:w="1844"/>
        <w:gridCol w:w="5994"/>
      </w:tblGrid>
      <w:tr w:rsidR="00A754E2" w:rsidRPr="00853D2A" w14:paraId="6C259FE5" w14:textId="77777777" w:rsidTr="009D06CA">
        <w:trPr>
          <w:trHeight w:val="397"/>
        </w:trPr>
        <w:tc>
          <w:tcPr>
            <w:tcW w:w="5000" w:type="pct"/>
            <w:gridSpan w:val="3"/>
            <w:shd w:val="clear" w:color="auto" w:fill="E5B8B7" w:themeFill="accent2" w:themeFillTint="66"/>
            <w:vAlign w:val="center"/>
            <w:hideMark/>
          </w:tcPr>
          <w:p w14:paraId="1F99D8FA" w14:textId="77777777" w:rsidR="00A754E2" w:rsidRPr="00805611" w:rsidRDefault="00A754E2" w:rsidP="009D06CA">
            <w:pPr>
              <w:pStyle w:val="NoSpacing"/>
              <w:spacing w:before="120" w:after="120"/>
              <w:jc w:val="center"/>
              <w:rPr>
                <w:rFonts w:ascii="Arial" w:hAnsi="Arial" w:cs="Arial"/>
                <w:b/>
                <w:sz w:val="24"/>
                <w:szCs w:val="24"/>
              </w:rPr>
            </w:pPr>
            <w:r>
              <w:rPr>
                <w:rFonts w:ascii="Arial" w:hAnsi="Arial" w:cs="Arial"/>
                <w:b/>
                <w:sz w:val="24"/>
                <w:szCs w:val="24"/>
              </w:rPr>
              <w:lastRenderedPageBreak/>
              <w:t>Annex of Modifications</w:t>
            </w:r>
          </w:p>
        </w:tc>
      </w:tr>
      <w:tr w:rsidR="00A754E2" w:rsidRPr="00853D2A" w14:paraId="274F2A97" w14:textId="77777777" w:rsidTr="009D06CA">
        <w:trPr>
          <w:trHeight w:val="397"/>
        </w:trPr>
        <w:tc>
          <w:tcPr>
            <w:tcW w:w="630" w:type="pct"/>
            <w:vAlign w:val="center"/>
          </w:tcPr>
          <w:p w14:paraId="7A74136B" w14:textId="77777777" w:rsidR="00A754E2" w:rsidRPr="00F76F9B" w:rsidRDefault="00A754E2" w:rsidP="009D06CA">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14:paraId="5219DA32" w14:textId="77777777" w:rsidR="00A754E2" w:rsidRPr="00F76F9B" w:rsidRDefault="00A754E2" w:rsidP="009D06CA">
            <w:pPr>
              <w:pStyle w:val="NoSpacing"/>
              <w:spacing w:before="120" w:after="120"/>
              <w:jc w:val="center"/>
              <w:rPr>
                <w:rFonts w:ascii="Arial" w:hAnsi="Arial" w:cs="Arial"/>
                <w:b/>
              </w:rPr>
            </w:pPr>
            <w:r w:rsidRPr="00F76F9B">
              <w:rPr>
                <w:rFonts w:ascii="Arial" w:hAnsi="Arial" w:cs="Arial"/>
                <w:b/>
              </w:rPr>
              <w:t>Date of issue</w:t>
            </w:r>
          </w:p>
        </w:tc>
        <w:tc>
          <w:tcPr>
            <w:tcW w:w="3343" w:type="pct"/>
            <w:vAlign w:val="center"/>
          </w:tcPr>
          <w:p w14:paraId="44D4806A" w14:textId="77777777" w:rsidR="00A754E2" w:rsidRPr="00F76F9B" w:rsidRDefault="00A754E2" w:rsidP="009D06CA">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A754E2" w:rsidRPr="00853D2A" w14:paraId="0604FFE9" w14:textId="77777777" w:rsidTr="009D06CA">
        <w:trPr>
          <w:trHeight w:val="397"/>
        </w:trPr>
        <w:tc>
          <w:tcPr>
            <w:tcW w:w="630" w:type="pct"/>
            <w:vAlign w:val="center"/>
          </w:tcPr>
          <w:p w14:paraId="2321B2A8" w14:textId="77777777" w:rsidR="00A754E2" w:rsidRPr="00805611" w:rsidRDefault="00A754E2" w:rsidP="009D06CA">
            <w:pPr>
              <w:pStyle w:val="NoSpacing"/>
              <w:spacing w:before="120" w:after="120"/>
              <w:rPr>
                <w:rFonts w:ascii="Arial" w:hAnsi="Arial" w:cs="Arial"/>
              </w:rPr>
            </w:pPr>
            <w:r>
              <w:rPr>
                <w:rFonts w:ascii="Arial" w:hAnsi="Arial" w:cs="Arial"/>
              </w:rPr>
              <w:t>1.1</w:t>
            </w:r>
          </w:p>
        </w:tc>
        <w:tc>
          <w:tcPr>
            <w:tcW w:w="1028" w:type="pct"/>
            <w:vAlign w:val="center"/>
          </w:tcPr>
          <w:p w14:paraId="5ECF9BAA" w14:textId="77777777" w:rsidR="00A754E2" w:rsidRPr="00805611" w:rsidRDefault="00A754E2" w:rsidP="009D06CA">
            <w:pPr>
              <w:pStyle w:val="NoSpacing"/>
              <w:spacing w:before="120" w:after="120"/>
              <w:rPr>
                <w:rFonts w:ascii="Arial" w:hAnsi="Arial" w:cs="Arial"/>
              </w:rPr>
            </w:pPr>
            <w:r>
              <w:rPr>
                <w:rFonts w:ascii="Arial" w:hAnsi="Arial" w:cs="Arial"/>
              </w:rPr>
              <w:t>30.01.15</w:t>
            </w:r>
          </w:p>
        </w:tc>
        <w:tc>
          <w:tcPr>
            <w:tcW w:w="3343" w:type="pct"/>
            <w:vAlign w:val="center"/>
          </w:tcPr>
          <w:p w14:paraId="5D93B148" w14:textId="77777777" w:rsidR="00A754E2" w:rsidRPr="00805611" w:rsidRDefault="00A754E2" w:rsidP="009D06CA">
            <w:pPr>
              <w:pStyle w:val="NoSpacing"/>
              <w:spacing w:before="120" w:after="120"/>
              <w:rPr>
                <w:rFonts w:ascii="Arial" w:hAnsi="Arial" w:cs="Arial"/>
              </w:rPr>
            </w:pPr>
            <w:r>
              <w:rPr>
                <w:rFonts w:ascii="Arial" w:hAnsi="Arial" w:cs="Arial"/>
              </w:rPr>
              <w:t>Minor edits following review by Management Committee 28.01.15</w:t>
            </w:r>
          </w:p>
        </w:tc>
      </w:tr>
      <w:tr w:rsidR="00A754E2" w:rsidRPr="00853D2A" w14:paraId="35BB1250" w14:textId="77777777" w:rsidTr="009D06CA">
        <w:trPr>
          <w:trHeight w:val="397"/>
        </w:trPr>
        <w:tc>
          <w:tcPr>
            <w:tcW w:w="630" w:type="pct"/>
            <w:vAlign w:val="center"/>
          </w:tcPr>
          <w:p w14:paraId="08DA3E94" w14:textId="24F72278" w:rsidR="00A754E2" w:rsidRPr="00805611" w:rsidRDefault="005A68E5" w:rsidP="009D06CA">
            <w:pPr>
              <w:pStyle w:val="NoSpacing"/>
              <w:spacing w:before="120" w:after="120"/>
              <w:rPr>
                <w:rFonts w:ascii="Arial" w:hAnsi="Arial" w:cs="Arial"/>
              </w:rPr>
            </w:pPr>
            <w:r>
              <w:rPr>
                <w:rFonts w:ascii="Arial" w:hAnsi="Arial" w:cs="Arial"/>
              </w:rPr>
              <w:t>1.2</w:t>
            </w:r>
          </w:p>
        </w:tc>
        <w:tc>
          <w:tcPr>
            <w:tcW w:w="1028" w:type="pct"/>
            <w:vAlign w:val="center"/>
          </w:tcPr>
          <w:p w14:paraId="379F5855" w14:textId="37F2180E" w:rsidR="00A754E2" w:rsidRPr="00805611" w:rsidRDefault="005A68E5" w:rsidP="009D06CA">
            <w:pPr>
              <w:pStyle w:val="NoSpacing"/>
              <w:spacing w:before="120" w:after="120"/>
              <w:rPr>
                <w:rFonts w:ascii="Arial" w:hAnsi="Arial" w:cs="Arial"/>
              </w:rPr>
            </w:pPr>
            <w:r>
              <w:rPr>
                <w:rFonts w:ascii="Arial" w:hAnsi="Arial" w:cs="Arial"/>
              </w:rPr>
              <w:t>01.08.15</w:t>
            </w:r>
          </w:p>
        </w:tc>
        <w:tc>
          <w:tcPr>
            <w:tcW w:w="3343" w:type="pct"/>
            <w:vAlign w:val="center"/>
          </w:tcPr>
          <w:p w14:paraId="770C80EE" w14:textId="4946A8A8" w:rsidR="00A754E2" w:rsidRPr="00805611" w:rsidRDefault="005A68E5" w:rsidP="009D06CA">
            <w:pPr>
              <w:pStyle w:val="NoSpacing"/>
              <w:spacing w:before="120" w:after="120"/>
              <w:rPr>
                <w:rFonts w:ascii="Arial" w:hAnsi="Arial" w:cs="Arial"/>
              </w:rPr>
            </w:pPr>
            <w:r>
              <w:rPr>
                <w:rFonts w:ascii="Arial" w:hAnsi="Arial" w:cs="Arial"/>
              </w:rPr>
              <w:t xml:space="preserve">Edits clarifying role of Progress Panel following University of Liverpool accreditation visit </w:t>
            </w:r>
          </w:p>
        </w:tc>
      </w:tr>
      <w:tr w:rsidR="00A754E2" w:rsidRPr="00853D2A" w14:paraId="02F3BEF9" w14:textId="77777777" w:rsidTr="009D06CA">
        <w:trPr>
          <w:trHeight w:val="397"/>
        </w:trPr>
        <w:tc>
          <w:tcPr>
            <w:tcW w:w="630" w:type="pct"/>
            <w:vAlign w:val="center"/>
          </w:tcPr>
          <w:p w14:paraId="64BA579C" w14:textId="50296838" w:rsidR="00A754E2" w:rsidRPr="00805611" w:rsidRDefault="0073787A" w:rsidP="009D06CA">
            <w:pPr>
              <w:pStyle w:val="NoSpacing"/>
              <w:spacing w:before="120" w:after="120"/>
              <w:rPr>
                <w:rFonts w:ascii="Arial" w:hAnsi="Arial" w:cs="Arial"/>
              </w:rPr>
            </w:pPr>
            <w:r>
              <w:rPr>
                <w:rFonts w:ascii="Arial" w:hAnsi="Arial" w:cs="Arial"/>
              </w:rPr>
              <w:t>2.0</w:t>
            </w:r>
          </w:p>
        </w:tc>
        <w:tc>
          <w:tcPr>
            <w:tcW w:w="1028" w:type="pct"/>
            <w:vAlign w:val="center"/>
          </w:tcPr>
          <w:p w14:paraId="5BBFDFA0" w14:textId="72B7473A" w:rsidR="00A754E2" w:rsidRPr="00805611" w:rsidRDefault="0073787A" w:rsidP="009D06CA">
            <w:pPr>
              <w:pStyle w:val="NoSpacing"/>
              <w:spacing w:before="120" w:after="120"/>
              <w:rPr>
                <w:rFonts w:ascii="Arial" w:hAnsi="Arial" w:cs="Arial"/>
              </w:rPr>
            </w:pPr>
            <w:r>
              <w:rPr>
                <w:rFonts w:ascii="Arial" w:hAnsi="Arial" w:cs="Arial"/>
              </w:rPr>
              <w:t>17.01.17</w:t>
            </w:r>
          </w:p>
        </w:tc>
        <w:tc>
          <w:tcPr>
            <w:tcW w:w="3343" w:type="pct"/>
            <w:vAlign w:val="center"/>
          </w:tcPr>
          <w:p w14:paraId="6AF2E2CD" w14:textId="1EFD5EB0" w:rsidR="00A754E2" w:rsidRPr="00805611" w:rsidRDefault="0073787A" w:rsidP="009D06CA">
            <w:pPr>
              <w:pStyle w:val="NoSpacing"/>
              <w:spacing w:before="120" w:after="120"/>
              <w:rPr>
                <w:rFonts w:ascii="Arial" w:hAnsi="Arial" w:cs="Arial"/>
              </w:rPr>
            </w:pPr>
            <w:r>
              <w:rPr>
                <w:rFonts w:ascii="Arial" w:hAnsi="Arial" w:cs="Arial"/>
              </w:rPr>
              <w:t>Mitigating Circumstances Committee renamed Extenuating Circumstances Committee</w:t>
            </w:r>
          </w:p>
        </w:tc>
      </w:tr>
      <w:tr w:rsidR="00A754E2" w:rsidRPr="00853D2A" w14:paraId="3B7C1F30" w14:textId="77777777" w:rsidTr="009D06CA">
        <w:trPr>
          <w:trHeight w:val="397"/>
        </w:trPr>
        <w:tc>
          <w:tcPr>
            <w:tcW w:w="630" w:type="pct"/>
            <w:vAlign w:val="center"/>
          </w:tcPr>
          <w:p w14:paraId="5BF20A88" w14:textId="1F1FD189" w:rsidR="00A754E2" w:rsidRPr="00805611" w:rsidRDefault="0073787A" w:rsidP="009D06CA">
            <w:pPr>
              <w:pStyle w:val="NoSpacing"/>
              <w:spacing w:before="120" w:after="120"/>
              <w:rPr>
                <w:rFonts w:ascii="Arial" w:hAnsi="Arial" w:cs="Arial"/>
              </w:rPr>
            </w:pPr>
            <w:r>
              <w:rPr>
                <w:rFonts w:ascii="Arial" w:hAnsi="Arial" w:cs="Arial"/>
              </w:rPr>
              <w:t>2.0</w:t>
            </w:r>
          </w:p>
        </w:tc>
        <w:tc>
          <w:tcPr>
            <w:tcW w:w="1028" w:type="pct"/>
            <w:vAlign w:val="center"/>
          </w:tcPr>
          <w:p w14:paraId="6F8AE676" w14:textId="48C14883" w:rsidR="00A754E2" w:rsidRPr="00805611" w:rsidRDefault="0073787A" w:rsidP="009D06CA">
            <w:pPr>
              <w:pStyle w:val="NoSpacing"/>
              <w:spacing w:before="120" w:after="120"/>
              <w:rPr>
                <w:rFonts w:ascii="Arial" w:hAnsi="Arial" w:cs="Arial"/>
              </w:rPr>
            </w:pPr>
            <w:r>
              <w:rPr>
                <w:rFonts w:ascii="Arial" w:hAnsi="Arial" w:cs="Arial"/>
              </w:rPr>
              <w:t>17.01.17</w:t>
            </w:r>
          </w:p>
        </w:tc>
        <w:tc>
          <w:tcPr>
            <w:tcW w:w="3343" w:type="pct"/>
            <w:vAlign w:val="center"/>
          </w:tcPr>
          <w:p w14:paraId="3EB832A8" w14:textId="713A38BE" w:rsidR="00A754E2" w:rsidRPr="00805611" w:rsidRDefault="0073787A" w:rsidP="009D06CA">
            <w:pPr>
              <w:pStyle w:val="NoSpacing"/>
              <w:spacing w:before="120" w:after="120"/>
              <w:rPr>
                <w:rFonts w:ascii="Arial" w:hAnsi="Arial" w:cs="Arial"/>
              </w:rPr>
            </w:pPr>
            <w:r>
              <w:rPr>
                <w:rFonts w:ascii="Arial" w:hAnsi="Arial" w:cs="Arial"/>
              </w:rPr>
              <w:t>Code of Practice on Complaints and Appeals superseded by Procedure for Dealing with Academic Appeals (Taught Programmes).</w:t>
            </w:r>
          </w:p>
        </w:tc>
      </w:tr>
      <w:tr w:rsidR="00A754E2" w:rsidRPr="00853D2A" w14:paraId="7F7B62AB" w14:textId="77777777" w:rsidTr="009D06CA">
        <w:trPr>
          <w:trHeight w:val="397"/>
        </w:trPr>
        <w:tc>
          <w:tcPr>
            <w:tcW w:w="630" w:type="pct"/>
            <w:vAlign w:val="center"/>
          </w:tcPr>
          <w:p w14:paraId="23C54B35" w14:textId="184F1CB3" w:rsidR="00A754E2" w:rsidRPr="00805611" w:rsidRDefault="00E155F1" w:rsidP="009D06CA">
            <w:pPr>
              <w:pStyle w:val="NoSpacing"/>
              <w:spacing w:before="120" w:after="120"/>
              <w:rPr>
                <w:rFonts w:ascii="Arial" w:hAnsi="Arial" w:cs="Arial"/>
              </w:rPr>
            </w:pPr>
            <w:r>
              <w:rPr>
                <w:rFonts w:ascii="Arial" w:hAnsi="Arial" w:cs="Arial"/>
              </w:rPr>
              <w:t>2.1</w:t>
            </w:r>
          </w:p>
        </w:tc>
        <w:tc>
          <w:tcPr>
            <w:tcW w:w="1028" w:type="pct"/>
            <w:vAlign w:val="center"/>
          </w:tcPr>
          <w:p w14:paraId="62E2F0C4" w14:textId="73EEE0FD" w:rsidR="00A754E2" w:rsidRPr="00805611" w:rsidRDefault="00E155F1" w:rsidP="009D06CA">
            <w:pPr>
              <w:pStyle w:val="NoSpacing"/>
              <w:spacing w:before="120" w:after="120"/>
              <w:rPr>
                <w:rFonts w:ascii="Arial" w:hAnsi="Arial" w:cs="Arial"/>
              </w:rPr>
            </w:pPr>
            <w:r>
              <w:rPr>
                <w:rFonts w:ascii="Arial" w:hAnsi="Arial" w:cs="Arial"/>
              </w:rPr>
              <w:t>20.01.19</w:t>
            </w:r>
          </w:p>
        </w:tc>
        <w:tc>
          <w:tcPr>
            <w:tcW w:w="3343" w:type="pct"/>
            <w:vAlign w:val="center"/>
          </w:tcPr>
          <w:p w14:paraId="373B781B" w14:textId="61F60BED" w:rsidR="00A754E2" w:rsidRPr="00805611" w:rsidRDefault="00E155F1" w:rsidP="009D06CA">
            <w:pPr>
              <w:pStyle w:val="NoSpacing"/>
              <w:spacing w:before="120" w:after="120"/>
              <w:rPr>
                <w:rFonts w:ascii="Arial" w:hAnsi="Arial" w:cs="Arial"/>
              </w:rPr>
            </w:pPr>
            <w:r>
              <w:rPr>
                <w:rFonts w:ascii="Arial" w:hAnsi="Arial" w:cs="Arial"/>
              </w:rPr>
              <w:t>Director of Education replaced by Dean of Education</w:t>
            </w:r>
          </w:p>
        </w:tc>
      </w:tr>
    </w:tbl>
    <w:p w14:paraId="31BD0D8E" w14:textId="77777777" w:rsidR="003773EF" w:rsidRDefault="003773EF" w:rsidP="00A754E2">
      <w:pPr>
        <w:pStyle w:val="CoPNumberlevel1"/>
        <w:numPr>
          <w:ilvl w:val="0"/>
          <w:numId w:val="0"/>
        </w:numPr>
        <w:ind w:left="680" w:hanging="680"/>
      </w:pPr>
    </w:p>
    <w:sectPr w:rsidR="003773EF" w:rsidSect="00805611">
      <w:footerReference w:type="default" r:id="rId10"/>
      <w:pgSz w:w="11906" w:h="16838"/>
      <w:pgMar w:top="1418" w:right="1190" w:bottom="851"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03CE" w14:textId="77777777" w:rsidR="0089203E" w:rsidRDefault="0089203E" w:rsidP="00E21955">
      <w:pPr>
        <w:spacing w:after="0" w:line="240" w:lineRule="auto"/>
      </w:pPr>
      <w:r>
        <w:separator/>
      </w:r>
    </w:p>
  </w:endnote>
  <w:endnote w:type="continuationSeparator" w:id="0">
    <w:p w14:paraId="362FB8B1" w14:textId="77777777" w:rsidR="0089203E" w:rsidRDefault="0089203E" w:rsidP="00E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6356" w14:textId="77777777" w:rsidR="00C53AE8" w:rsidRDefault="005F4A3A" w:rsidP="00CA5861">
    <w:pPr>
      <w:pStyle w:val="Footer"/>
      <w:rPr>
        <w:rFonts w:ascii="Arial" w:hAnsi="Arial" w:cs="Arial"/>
        <w:sz w:val="16"/>
        <w:szCs w:val="16"/>
      </w:rPr>
    </w:pPr>
    <w:r>
      <w:rPr>
        <w:rFonts w:ascii="Arial" w:hAnsi="Arial" w:cs="Arial"/>
        <w:sz w:val="16"/>
        <w:szCs w:val="16"/>
      </w:rPr>
      <w:pict w14:anchorId="735D14AA">
        <v:rect id="_x0000_i1025" style="width:0;height:1.5pt" o:hralign="center" o:hrstd="t" o:hr="t" fillcolor="#a0a0a0" stroked="f"/>
      </w:pict>
    </w:r>
  </w:p>
  <w:p w14:paraId="0FEDCCBC" w14:textId="0A1EA284" w:rsidR="00C53AE8" w:rsidRPr="007E0F79" w:rsidRDefault="00214709" w:rsidP="00CA5861">
    <w:pPr>
      <w:pStyle w:val="Footer"/>
      <w:rPr>
        <w:rFonts w:ascii="Arial" w:hAnsi="Arial" w:cs="Arial"/>
        <w:sz w:val="16"/>
        <w:szCs w:val="16"/>
      </w:rPr>
    </w:pPr>
    <w:r>
      <w:rPr>
        <w:rFonts w:ascii="Arial" w:hAnsi="Arial" w:cs="Arial"/>
        <w:sz w:val="16"/>
        <w:szCs w:val="16"/>
      </w:rPr>
      <w:t xml:space="preserve">Version: </w:t>
    </w:r>
    <w:r w:rsidR="0073787A">
      <w:rPr>
        <w:rFonts w:ascii="Arial" w:hAnsi="Arial" w:cs="Arial"/>
        <w:sz w:val="16"/>
        <w:szCs w:val="16"/>
      </w:rPr>
      <w:t>2.</w:t>
    </w:r>
    <w:r w:rsidR="005F4A3A">
      <w:rPr>
        <w:rFonts w:ascii="Arial" w:hAnsi="Arial" w:cs="Arial"/>
        <w:sz w:val="16"/>
        <w:szCs w:val="16"/>
      </w:rPr>
      <w:t>1</w:t>
    </w:r>
  </w:p>
  <w:p w14:paraId="43C69DA4" w14:textId="0590D5C8" w:rsidR="005A68E5" w:rsidRDefault="005A68E5" w:rsidP="00BB7E56">
    <w:pPr>
      <w:pStyle w:val="Footer"/>
      <w:tabs>
        <w:tab w:val="clear" w:pos="4513"/>
        <w:tab w:val="center" w:pos="9063"/>
      </w:tabs>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xml:space="preserve">Code of Practice on </w:t>
    </w:r>
    <w:r w:rsidRPr="005A68E5">
      <w:rPr>
        <w:rFonts w:ascii="Arial" w:eastAsiaTheme="minorHAnsi" w:hAnsi="Arial" w:cs="Arial"/>
        <w:color w:val="000000"/>
        <w:sz w:val="16"/>
        <w:szCs w:val="16"/>
        <w:lang w:eastAsia="en-US"/>
      </w:rPr>
      <w:t xml:space="preserve">Monitoring </w:t>
    </w:r>
    <w:r w:rsidR="000B6B11">
      <w:rPr>
        <w:rFonts w:ascii="Arial" w:eastAsiaTheme="minorHAnsi" w:hAnsi="Arial" w:cs="Arial"/>
        <w:color w:val="000000"/>
        <w:sz w:val="16"/>
        <w:szCs w:val="16"/>
        <w:lang w:eastAsia="en-US"/>
      </w:rPr>
      <w:t xml:space="preserve">Student </w:t>
    </w:r>
    <w:r w:rsidRPr="005A68E5">
      <w:rPr>
        <w:rFonts w:ascii="Arial" w:eastAsiaTheme="minorHAnsi" w:hAnsi="Arial" w:cs="Arial"/>
        <w:color w:val="000000"/>
        <w:sz w:val="16"/>
        <w:szCs w:val="16"/>
        <w:lang w:eastAsia="en-US"/>
      </w:rPr>
      <w:t xml:space="preserve">Progress </w:t>
    </w:r>
    <w:r w:rsidR="000B6B11">
      <w:rPr>
        <w:rFonts w:ascii="Arial" w:eastAsiaTheme="minorHAnsi" w:hAnsi="Arial" w:cs="Arial"/>
        <w:color w:val="000000"/>
        <w:sz w:val="16"/>
        <w:szCs w:val="16"/>
        <w:lang w:eastAsia="en-US"/>
      </w:rPr>
      <w:t>and the Conduct of Boards of Examiners</w:t>
    </w:r>
  </w:p>
  <w:p w14:paraId="52938864" w14:textId="2C668347" w:rsidR="00C53AE8" w:rsidRPr="005A68E5" w:rsidRDefault="00C53AE8" w:rsidP="00BB7E56">
    <w:pPr>
      <w:pStyle w:val="Footer"/>
      <w:tabs>
        <w:tab w:val="clear" w:pos="4513"/>
        <w:tab w:val="center" w:pos="9063"/>
      </w:tabs>
      <w:rPr>
        <w:rFonts w:ascii="Arial" w:eastAsiaTheme="minorHAnsi" w:hAnsi="Arial" w:cs="Arial"/>
        <w:color w:val="000000"/>
        <w:sz w:val="16"/>
        <w:szCs w:val="16"/>
        <w:lang w:eastAsia="en-US"/>
      </w:rPr>
    </w:pPr>
    <w:r>
      <w:rPr>
        <w:rFonts w:ascii="Arial" w:hAnsi="Arial" w:cs="Arial"/>
        <w:color w:val="000000"/>
        <w:sz w:val="16"/>
        <w:szCs w:val="16"/>
      </w:rPr>
      <w:t xml:space="preserve">Date </w:t>
    </w:r>
    <w:r w:rsidR="009F0E7F">
      <w:rPr>
        <w:rFonts w:ascii="Arial" w:hAnsi="Arial" w:cs="Arial"/>
        <w:color w:val="000000"/>
        <w:sz w:val="16"/>
        <w:szCs w:val="16"/>
      </w:rPr>
      <w:t>issued</w:t>
    </w:r>
    <w:r>
      <w:rPr>
        <w:rFonts w:ascii="Arial" w:hAnsi="Arial" w:cs="Arial"/>
        <w:color w:val="000000"/>
        <w:sz w:val="16"/>
        <w:szCs w:val="16"/>
      </w:rPr>
      <w:t>:</w:t>
    </w:r>
    <w:r w:rsidR="005F4A3A">
      <w:rPr>
        <w:rFonts w:ascii="Arial" w:hAnsi="Arial" w:cs="Arial"/>
        <w:color w:val="000000"/>
        <w:sz w:val="16"/>
        <w:szCs w:val="16"/>
      </w:rPr>
      <w:t xml:space="preserve">  1.2.19</w:t>
    </w:r>
    <w:r>
      <w:rPr>
        <w:rFonts w:ascii="Arial" w:hAnsi="Arial" w:cs="Arial"/>
        <w:color w:val="000000"/>
        <w:sz w:val="16"/>
        <w:szCs w:val="16"/>
      </w:rPr>
      <w:tab/>
    </w:r>
    <w:sdt>
      <w:sdtPr>
        <w:rPr>
          <w:rFonts w:ascii="Arial" w:hAnsi="Arial" w:cs="Arial"/>
          <w:sz w:val="16"/>
          <w:szCs w:val="16"/>
        </w:rPr>
        <w:id w:val="8401930"/>
        <w:docPartObj>
          <w:docPartGallery w:val="Page Numbers (Top of Page)"/>
          <w:docPartUnique/>
        </w:docPartObj>
      </w:sdtPr>
      <w:sdtEndPr/>
      <w:sdtContent>
        <w:r w:rsidRPr="007E0F79">
          <w:rPr>
            <w:rFonts w:ascii="Arial" w:hAnsi="Arial" w:cs="Arial"/>
            <w:sz w:val="16"/>
            <w:szCs w:val="16"/>
          </w:rPr>
          <w:t xml:space="preserve">Page </w:t>
        </w:r>
        <w:r w:rsidRPr="007E0F79">
          <w:rPr>
            <w:rFonts w:ascii="Arial" w:hAnsi="Arial" w:cs="Arial"/>
            <w:sz w:val="16"/>
            <w:szCs w:val="16"/>
          </w:rPr>
          <w:fldChar w:fldCharType="begin"/>
        </w:r>
        <w:r w:rsidRPr="007E0F79">
          <w:rPr>
            <w:rFonts w:ascii="Arial" w:hAnsi="Arial" w:cs="Arial"/>
            <w:sz w:val="16"/>
            <w:szCs w:val="16"/>
          </w:rPr>
          <w:instrText xml:space="preserve"> PAGE </w:instrText>
        </w:r>
        <w:r w:rsidRPr="007E0F79">
          <w:rPr>
            <w:rFonts w:ascii="Arial" w:hAnsi="Arial" w:cs="Arial"/>
            <w:sz w:val="16"/>
            <w:szCs w:val="16"/>
          </w:rPr>
          <w:fldChar w:fldCharType="separate"/>
        </w:r>
        <w:r w:rsidR="00B64AAD">
          <w:rPr>
            <w:rFonts w:ascii="Arial" w:hAnsi="Arial" w:cs="Arial"/>
            <w:noProof/>
            <w:sz w:val="16"/>
            <w:szCs w:val="16"/>
          </w:rPr>
          <w:t>9</w:t>
        </w:r>
        <w:r w:rsidRPr="007E0F79">
          <w:rPr>
            <w:rFonts w:ascii="Arial" w:hAnsi="Arial" w:cs="Arial"/>
            <w:sz w:val="16"/>
            <w:szCs w:val="16"/>
          </w:rPr>
          <w:fldChar w:fldCharType="end"/>
        </w:r>
        <w:r w:rsidRPr="007E0F79">
          <w:rPr>
            <w:rFonts w:ascii="Arial" w:hAnsi="Arial" w:cs="Arial"/>
            <w:sz w:val="16"/>
            <w:szCs w:val="16"/>
          </w:rPr>
          <w:t xml:space="preserve"> of </w:t>
        </w:r>
        <w:r w:rsidRPr="007E0F79">
          <w:rPr>
            <w:rFonts w:ascii="Arial" w:hAnsi="Arial" w:cs="Arial"/>
            <w:sz w:val="16"/>
            <w:szCs w:val="16"/>
          </w:rPr>
          <w:fldChar w:fldCharType="begin"/>
        </w:r>
        <w:r w:rsidRPr="007E0F79">
          <w:rPr>
            <w:rFonts w:ascii="Arial" w:hAnsi="Arial" w:cs="Arial"/>
            <w:sz w:val="16"/>
            <w:szCs w:val="16"/>
          </w:rPr>
          <w:instrText xml:space="preserve"> NUMPAGES  </w:instrText>
        </w:r>
        <w:r w:rsidRPr="007E0F79">
          <w:rPr>
            <w:rFonts w:ascii="Arial" w:hAnsi="Arial" w:cs="Arial"/>
            <w:sz w:val="16"/>
            <w:szCs w:val="16"/>
          </w:rPr>
          <w:fldChar w:fldCharType="separate"/>
        </w:r>
        <w:r w:rsidR="00B64AAD">
          <w:rPr>
            <w:rFonts w:ascii="Arial" w:hAnsi="Arial" w:cs="Arial"/>
            <w:noProof/>
            <w:sz w:val="16"/>
            <w:szCs w:val="16"/>
          </w:rPr>
          <w:t>9</w:t>
        </w:r>
        <w:r w:rsidRPr="007E0F79">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401F" w14:textId="77777777" w:rsidR="0089203E" w:rsidRDefault="0089203E" w:rsidP="00E21955">
      <w:pPr>
        <w:spacing w:after="0" w:line="240" w:lineRule="auto"/>
      </w:pPr>
      <w:r>
        <w:separator/>
      </w:r>
    </w:p>
  </w:footnote>
  <w:footnote w:type="continuationSeparator" w:id="0">
    <w:p w14:paraId="6575DAD6" w14:textId="77777777" w:rsidR="0089203E" w:rsidRDefault="0089203E" w:rsidP="00E2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D20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3A3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264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89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86E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42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788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2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7A9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41BA1"/>
    <w:multiLevelType w:val="hybridMultilevel"/>
    <w:tmpl w:val="3A4A8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F04782"/>
    <w:multiLevelType w:val="hybridMultilevel"/>
    <w:tmpl w:val="B9AC81D0"/>
    <w:lvl w:ilvl="0" w:tplc="B6B6EE72">
      <w:numFmt w:val="bullet"/>
      <w:pStyle w:val="CoPbullet"/>
      <w:lvlText w:val="•"/>
      <w:lvlJc w:val="left"/>
      <w:pPr>
        <w:ind w:left="720" w:hanging="360"/>
      </w:pPr>
      <w:rPr>
        <w:rFonts w:ascii="Arial" w:eastAsia="Arial" w:hAnsi="Arial" w:hint="default"/>
        <w:color w:val="231F20"/>
        <w:w w:val="1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C326B"/>
    <w:multiLevelType w:val="hybridMultilevel"/>
    <w:tmpl w:val="FE7CA40E"/>
    <w:lvl w:ilvl="0" w:tplc="24EE2F80">
      <w:start w:val="1"/>
      <w:numFmt w:val="decimal"/>
      <w:lvlText w:val="%1"/>
      <w:lvlJc w:val="left"/>
      <w:pPr>
        <w:ind w:left="360" w:hanging="360"/>
      </w:pPr>
      <w:rPr>
        <w:rFonts w:ascii="Arial" w:hAnsi="Arial" w:hint="default"/>
        <w:b/>
        <w:i w:val="0"/>
        <w:color w:val="943634" w:themeColor="accent2" w:themeShade="B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59D64C3"/>
    <w:multiLevelType w:val="hybridMultilevel"/>
    <w:tmpl w:val="D65C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30005"/>
    <w:multiLevelType w:val="hybridMultilevel"/>
    <w:tmpl w:val="F3EA2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4B244D"/>
    <w:multiLevelType w:val="hybridMultilevel"/>
    <w:tmpl w:val="9A1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57FD3"/>
    <w:multiLevelType w:val="hybridMultilevel"/>
    <w:tmpl w:val="1398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9A3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2D17C5"/>
    <w:multiLevelType w:val="multilevel"/>
    <w:tmpl w:val="CB4A4C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15:restartNumberingAfterBreak="0">
    <w:nsid w:val="55432529"/>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994978"/>
    <w:multiLevelType w:val="hybridMultilevel"/>
    <w:tmpl w:val="8D3E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86F89"/>
    <w:multiLevelType w:val="hybridMultilevel"/>
    <w:tmpl w:val="1674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500FF"/>
    <w:multiLevelType w:val="multilevel"/>
    <w:tmpl w:val="1B4E02EC"/>
    <w:lvl w:ilvl="0">
      <w:start w:val="1"/>
      <w:numFmt w:val="decimal"/>
      <w:pStyle w:val="CoPborderheading"/>
      <w:lvlText w:val="%1"/>
      <w:lvlJc w:val="left"/>
      <w:pPr>
        <w:ind w:left="360" w:hanging="360"/>
      </w:pPr>
      <w:rPr>
        <w:rFonts w:hint="default"/>
      </w:rPr>
    </w:lvl>
    <w:lvl w:ilvl="1">
      <w:start w:val="1"/>
      <w:numFmt w:val="decimal"/>
      <w:pStyle w:val="Style1"/>
      <w:isLgl/>
      <w:lvlText w:val="%1.%2"/>
      <w:lvlJc w:val="left"/>
      <w:pPr>
        <w:ind w:left="1277" w:hanging="567"/>
      </w:pPr>
      <w:rPr>
        <w:rFonts w:ascii="Arial" w:hAnsi="Arial" w:hint="default"/>
        <w:spacing w:val="0"/>
        <w:sz w:val="22"/>
      </w:rPr>
    </w:lvl>
    <w:lvl w:ilvl="2">
      <w:start w:val="1"/>
      <w:numFmt w:val="decimal"/>
      <w:pStyle w:val="CoPNumberlevel2"/>
      <w:isLgl/>
      <w:lvlText w:val="%1.%2.%3"/>
      <w:lvlJc w:val="left"/>
      <w:pPr>
        <w:ind w:left="1418"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E441C8E"/>
    <w:multiLevelType w:val="hybridMultilevel"/>
    <w:tmpl w:val="AE54636A"/>
    <w:lvl w:ilvl="0" w:tplc="47423404">
      <w:start w:val="1"/>
      <w:numFmt w:val="decimal"/>
      <w:pStyle w:val="CoP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094BB0"/>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BC2396"/>
    <w:multiLevelType w:val="hybridMultilevel"/>
    <w:tmpl w:val="B5CA758C"/>
    <w:lvl w:ilvl="0" w:tplc="E5AA3976">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8DC0F82"/>
    <w:multiLevelType w:val="multilevel"/>
    <w:tmpl w:val="E062A4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1513B7"/>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400C2B"/>
    <w:multiLevelType w:val="hybridMultilevel"/>
    <w:tmpl w:val="E116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C5ACE"/>
    <w:multiLevelType w:val="multilevel"/>
    <w:tmpl w:val="A22AC4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1371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9C4920"/>
    <w:multiLevelType w:val="hybridMultilevel"/>
    <w:tmpl w:val="35705D7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7C324D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4119C4"/>
    <w:multiLevelType w:val="hybridMultilevel"/>
    <w:tmpl w:val="ED3A8244"/>
    <w:lvl w:ilvl="0" w:tplc="06740D60">
      <w:start w:val="1"/>
      <w:numFmt w:val="decimal"/>
      <w:pStyle w:val="HeadingListStyl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33"/>
  </w:num>
  <w:num w:numId="3">
    <w:abstractNumId w:val="16"/>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num>
  <w:num w:numId="20">
    <w:abstractNumId w:val="24"/>
  </w:num>
  <w:num w:numId="21">
    <w:abstractNumId w:val="12"/>
  </w:num>
  <w:num w:numId="22">
    <w:abstractNumId w:val="20"/>
  </w:num>
  <w:num w:numId="23">
    <w:abstractNumId w:val="25"/>
  </w:num>
  <w:num w:numId="24">
    <w:abstractNumId w:val="22"/>
  </w:num>
  <w:num w:numId="25">
    <w:abstractNumId w:val="32"/>
  </w:num>
  <w:num w:numId="26">
    <w:abstractNumId w:val="17"/>
  </w:num>
  <w:num w:numId="27">
    <w:abstractNumId w:val="27"/>
  </w:num>
  <w:num w:numId="28">
    <w:abstractNumId w:val="19"/>
  </w:num>
  <w:num w:numId="29">
    <w:abstractNumId w:val="29"/>
  </w:num>
  <w:num w:numId="30">
    <w:abstractNumId w:val="14"/>
  </w:num>
  <w:num w:numId="31">
    <w:abstractNumId w:val="30"/>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11"/>
  </w:num>
  <w:num w:numId="39">
    <w:abstractNumId w:val="10"/>
  </w:num>
  <w:num w:numId="40">
    <w:abstractNumId w:val="21"/>
  </w:num>
  <w:num w:numId="41">
    <w:abstractNumId w:val="15"/>
  </w:num>
  <w:num w:numId="42">
    <w:abstractNumId w:val="13"/>
  </w:num>
  <w:num w:numId="43">
    <w:abstractNumId w:val="28"/>
  </w:num>
  <w:num w:numId="44">
    <w:abstractNumId w:val="1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7"/>
  <w:drawingGridVerticalSpacing w:val="170"/>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85"/>
    <w:rsid w:val="00005694"/>
    <w:rsid w:val="0001790B"/>
    <w:rsid w:val="00025E4F"/>
    <w:rsid w:val="00034B7F"/>
    <w:rsid w:val="00036A76"/>
    <w:rsid w:val="000406D1"/>
    <w:rsid w:val="000453DC"/>
    <w:rsid w:val="00054E1B"/>
    <w:rsid w:val="00063E00"/>
    <w:rsid w:val="00080E11"/>
    <w:rsid w:val="00084650"/>
    <w:rsid w:val="0008662E"/>
    <w:rsid w:val="000964AF"/>
    <w:rsid w:val="000978C2"/>
    <w:rsid w:val="00097C03"/>
    <w:rsid w:val="000A70D0"/>
    <w:rsid w:val="000B3F85"/>
    <w:rsid w:val="000B6B11"/>
    <w:rsid w:val="000B7AF2"/>
    <w:rsid w:val="000C31EB"/>
    <w:rsid w:val="000C637A"/>
    <w:rsid w:val="000D5CE3"/>
    <w:rsid w:val="000D7265"/>
    <w:rsid w:val="000E03EC"/>
    <w:rsid w:val="000F6406"/>
    <w:rsid w:val="00111CE8"/>
    <w:rsid w:val="00111E4E"/>
    <w:rsid w:val="0012360C"/>
    <w:rsid w:val="00132F50"/>
    <w:rsid w:val="00141FBA"/>
    <w:rsid w:val="00143707"/>
    <w:rsid w:val="001471C6"/>
    <w:rsid w:val="00151302"/>
    <w:rsid w:val="001536BF"/>
    <w:rsid w:val="00157910"/>
    <w:rsid w:val="00176069"/>
    <w:rsid w:val="00177BE0"/>
    <w:rsid w:val="00185C41"/>
    <w:rsid w:val="00196210"/>
    <w:rsid w:val="001A046A"/>
    <w:rsid w:val="001B05D9"/>
    <w:rsid w:val="001B3D26"/>
    <w:rsid w:val="001E1DB4"/>
    <w:rsid w:val="001E7FE3"/>
    <w:rsid w:val="001F34CD"/>
    <w:rsid w:val="001F7295"/>
    <w:rsid w:val="0020508F"/>
    <w:rsid w:val="00212A09"/>
    <w:rsid w:val="00214709"/>
    <w:rsid w:val="002162FB"/>
    <w:rsid w:val="0021752E"/>
    <w:rsid w:val="00225691"/>
    <w:rsid w:val="0023410E"/>
    <w:rsid w:val="00245A8C"/>
    <w:rsid w:val="00254AE6"/>
    <w:rsid w:val="002555C8"/>
    <w:rsid w:val="00262105"/>
    <w:rsid w:val="00273A05"/>
    <w:rsid w:val="00276B97"/>
    <w:rsid w:val="00285202"/>
    <w:rsid w:val="002A2C51"/>
    <w:rsid w:val="002A621D"/>
    <w:rsid w:val="002B160C"/>
    <w:rsid w:val="002B3F2C"/>
    <w:rsid w:val="002B5376"/>
    <w:rsid w:val="002B64D3"/>
    <w:rsid w:val="002C2D7F"/>
    <w:rsid w:val="002C7E71"/>
    <w:rsid w:val="002D3179"/>
    <w:rsid w:val="002E5C2F"/>
    <w:rsid w:val="002E6B50"/>
    <w:rsid w:val="002F663B"/>
    <w:rsid w:val="002F73D7"/>
    <w:rsid w:val="00314FED"/>
    <w:rsid w:val="00315094"/>
    <w:rsid w:val="00315533"/>
    <w:rsid w:val="00323310"/>
    <w:rsid w:val="0032454A"/>
    <w:rsid w:val="00333068"/>
    <w:rsid w:val="003339B7"/>
    <w:rsid w:val="0033564F"/>
    <w:rsid w:val="00340EE0"/>
    <w:rsid w:val="003451D3"/>
    <w:rsid w:val="003453E2"/>
    <w:rsid w:val="00347D48"/>
    <w:rsid w:val="0035302D"/>
    <w:rsid w:val="003608E2"/>
    <w:rsid w:val="003773EF"/>
    <w:rsid w:val="00384F14"/>
    <w:rsid w:val="00397BDB"/>
    <w:rsid w:val="003C05BC"/>
    <w:rsid w:val="003C5E2D"/>
    <w:rsid w:val="003D78FF"/>
    <w:rsid w:val="003E328F"/>
    <w:rsid w:val="003E5663"/>
    <w:rsid w:val="00421C44"/>
    <w:rsid w:val="0042383C"/>
    <w:rsid w:val="004250EE"/>
    <w:rsid w:val="00432753"/>
    <w:rsid w:val="004578E1"/>
    <w:rsid w:val="00481551"/>
    <w:rsid w:val="00481740"/>
    <w:rsid w:val="00482D75"/>
    <w:rsid w:val="004A6EE4"/>
    <w:rsid w:val="004B2061"/>
    <w:rsid w:val="004B5C73"/>
    <w:rsid w:val="004B602A"/>
    <w:rsid w:val="004B7CCD"/>
    <w:rsid w:val="004D0A9E"/>
    <w:rsid w:val="004D2A50"/>
    <w:rsid w:val="004E42D6"/>
    <w:rsid w:val="005030D6"/>
    <w:rsid w:val="005121B5"/>
    <w:rsid w:val="00512266"/>
    <w:rsid w:val="00521FC0"/>
    <w:rsid w:val="00524EB3"/>
    <w:rsid w:val="00546972"/>
    <w:rsid w:val="0055578F"/>
    <w:rsid w:val="005575D9"/>
    <w:rsid w:val="00560E9E"/>
    <w:rsid w:val="00564B29"/>
    <w:rsid w:val="005709FB"/>
    <w:rsid w:val="0057702A"/>
    <w:rsid w:val="00585CB7"/>
    <w:rsid w:val="00591330"/>
    <w:rsid w:val="005A0E8C"/>
    <w:rsid w:val="005A68E5"/>
    <w:rsid w:val="005B0BDD"/>
    <w:rsid w:val="005B3AFA"/>
    <w:rsid w:val="005C7B3B"/>
    <w:rsid w:val="005E0570"/>
    <w:rsid w:val="005E6CE6"/>
    <w:rsid w:val="005E7A45"/>
    <w:rsid w:val="005F4A3A"/>
    <w:rsid w:val="006113B5"/>
    <w:rsid w:val="00611736"/>
    <w:rsid w:val="00627DB8"/>
    <w:rsid w:val="00631080"/>
    <w:rsid w:val="00635BEA"/>
    <w:rsid w:val="00661912"/>
    <w:rsid w:val="00662AC8"/>
    <w:rsid w:val="006707CC"/>
    <w:rsid w:val="0067281F"/>
    <w:rsid w:val="00685657"/>
    <w:rsid w:val="00692B99"/>
    <w:rsid w:val="006B0CCB"/>
    <w:rsid w:val="006B6C40"/>
    <w:rsid w:val="006D3DD5"/>
    <w:rsid w:val="006E23DD"/>
    <w:rsid w:val="006E402A"/>
    <w:rsid w:val="006E6266"/>
    <w:rsid w:val="00702214"/>
    <w:rsid w:val="0070301E"/>
    <w:rsid w:val="00724BBC"/>
    <w:rsid w:val="007306DA"/>
    <w:rsid w:val="0073787A"/>
    <w:rsid w:val="00752CEA"/>
    <w:rsid w:val="007569D7"/>
    <w:rsid w:val="007710A9"/>
    <w:rsid w:val="00774591"/>
    <w:rsid w:val="007826FE"/>
    <w:rsid w:val="00784DD2"/>
    <w:rsid w:val="007876BC"/>
    <w:rsid w:val="007A30E4"/>
    <w:rsid w:val="007C684C"/>
    <w:rsid w:val="007D067D"/>
    <w:rsid w:val="007E21FE"/>
    <w:rsid w:val="007E31E1"/>
    <w:rsid w:val="007E5B62"/>
    <w:rsid w:val="008044CD"/>
    <w:rsid w:val="00805611"/>
    <w:rsid w:val="00815CD2"/>
    <w:rsid w:val="008313BA"/>
    <w:rsid w:val="008442A6"/>
    <w:rsid w:val="00846190"/>
    <w:rsid w:val="00846FB2"/>
    <w:rsid w:val="0084788E"/>
    <w:rsid w:val="00853D2A"/>
    <w:rsid w:val="008630EF"/>
    <w:rsid w:val="008725D3"/>
    <w:rsid w:val="00876075"/>
    <w:rsid w:val="0089203E"/>
    <w:rsid w:val="008A1BBE"/>
    <w:rsid w:val="008A7588"/>
    <w:rsid w:val="008B6CFC"/>
    <w:rsid w:val="008E3E61"/>
    <w:rsid w:val="008F6960"/>
    <w:rsid w:val="0090725D"/>
    <w:rsid w:val="00915038"/>
    <w:rsid w:val="00920550"/>
    <w:rsid w:val="00925385"/>
    <w:rsid w:val="0092740C"/>
    <w:rsid w:val="00937C49"/>
    <w:rsid w:val="009427C4"/>
    <w:rsid w:val="0095152F"/>
    <w:rsid w:val="009655B3"/>
    <w:rsid w:val="00966547"/>
    <w:rsid w:val="00974334"/>
    <w:rsid w:val="00981629"/>
    <w:rsid w:val="0098423E"/>
    <w:rsid w:val="009873CE"/>
    <w:rsid w:val="0099600C"/>
    <w:rsid w:val="009A154A"/>
    <w:rsid w:val="009B10B3"/>
    <w:rsid w:val="009B62E2"/>
    <w:rsid w:val="009D1568"/>
    <w:rsid w:val="009D2E67"/>
    <w:rsid w:val="009D72B1"/>
    <w:rsid w:val="009E0A50"/>
    <w:rsid w:val="009E4D81"/>
    <w:rsid w:val="009F0E7F"/>
    <w:rsid w:val="009F24BF"/>
    <w:rsid w:val="00A00166"/>
    <w:rsid w:val="00A11EF2"/>
    <w:rsid w:val="00A123C5"/>
    <w:rsid w:val="00A13232"/>
    <w:rsid w:val="00A456D2"/>
    <w:rsid w:val="00A708BF"/>
    <w:rsid w:val="00A733EB"/>
    <w:rsid w:val="00A754E2"/>
    <w:rsid w:val="00A85A11"/>
    <w:rsid w:val="00A85B07"/>
    <w:rsid w:val="00A91F8A"/>
    <w:rsid w:val="00A9402C"/>
    <w:rsid w:val="00A96C21"/>
    <w:rsid w:val="00A97BF3"/>
    <w:rsid w:val="00AA545E"/>
    <w:rsid w:val="00AB7772"/>
    <w:rsid w:val="00AD0B66"/>
    <w:rsid w:val="00AD446E"/>
    <w:rsid w:val="00AD5BB5"/>
    <w:rsid w:val="00AE4F1A"/>
    <w:rsid w:val="00AE7468"/>
    <w:rsid w:val="00AF57E6"/>
    <w:rsid w:val="00B17C8A"/>
    <w:rsid w:val="00B240ED"/>
    <w:rsid w:val="00B313B4"/>
    <w:rsid w:val="00B34036"/>
    <w:rsid w:val="00B34628"/>
    <w:rsid w:val="00B368F1"/>
    <w:rsid w:val="00B41719"/>
    <w:rsid w:val="00B438A5"/>
    <w:rsid w:val="00B54748"/>
    <w:rsid w:val="00B64AAD"/>
    <w:rsid w:val="00B81A46"/>
    <w:rsid w:val="00B85A18"/>
    <w:rsid w:val="00B93797"/>
    <w:rsid w:val="00BB2003"/>
    <w:rsid w:val="00BB3562"/>
    <w:rsid w:val="00BB3FF3"/>
    <w:rsid w:val="00BB6EFF"/>
    <w:rsid w:val="00BB7E56"/>
    <w:rsid w:val="00BC4E98"/>
    <w:rsid w:val="00BE40BC"/>
    <w:rsid w:val="00BE79EA"/>
    <w:rsid w:val="00C0017B"/>
    <w:rsid w:val="00C001F3"/>
    <w:rsid w:val="00C040BE"/>
    <w:rsid w:val="00C11613"/>
    <w:rsid w:val="00C356B9"/>
    <w:rsid w:val="00C53AE8"/>
    <w:rsid w:val="00C616E1"/>
    <w:rsid w:val="00C64B92"/>
    <w:rsid w:val="00C659A9"/>
    <w:rsid w:val="00C7558A"/>
    <w:rsid w:val="00C8024F"/>
    <w:rsid w:val="00C828AE"/>
    <w:rsid w:val="00C91E32"/>
    <w:rsid w:val="00C922ED"/>
    <w:rsid w:val="00C934D2"/>
    <w:rsid w:val="00CA2CD7"/>
    <w:rsid w:val="00CA33D3"/>
    <w:rsid w:val="00CA5861"/>
    <w:rsid w:val="00CA7FE2"/>
    <w:rsid w:val="00CB1F4F"/>
    <w:rsid w:val="00CB6E5D"/>
    <w:rsid w:val="00CC43F6"/>
    <w:rsid w:val="00CE3D1D"/>
    <w:rsid w:val="00CE6CA4"/>
    <w:rsid w:val="00CF0177"/>
    <w:rsid w:val="00D21B5E"/>
    <w:rsid w:val="00D23717"/>
    <w:rsid w:val="00D35BAE"/>
    <w:rsid w:val="00D4060F"/>
    <w:rsid w:val="00D47BFE"/>
    <w:rsid w:val="00D55889"/>
    <w:rsid w:val="00D6697B"/>
    <w:rsid w:val="00D803DE"/>
    <w:rsid w:val="00D806D7"/>
    <w:rsid w:val="00D832EE"/>
    <w:rsid w:val="00DA0D7D"/>
    <w:rsid w:val="00DA34D4"/>
    <w:rsid w:val="00DB06B6"/>
    <w:rsid w:val="00DB0CD9"/>
    <w:rsid w:val="00DB0EE7"/>
    <w:rsid w:val="00DC5F0B"/>
    <w:rsid w:val="00DD064C"/>
    <w:rsid w:val="00DD4890"/>
    <w:rsid w:val="00DD6549"/>
    <w:rsid w:val="00DE1BD1"/>
    <w:rsid w:val="00DE2B7E"/>
    <w:rsid w:val="00DE3B53"/>
    <w:rsid w:val="00DF0C7F"/>
    <w:rsid w:val="00DF1C16"/>
    <w:rsid w:val="00DF6889"/>
    <w:rsid w:val="00E02DF0"/>
    <w:rsid w:val="00E03F1F"/>
    <w:rsid w:val="00E06115"/>
    <w:rsid w:val="00E061A5"/>
    <w:rsid w:val="00E155F1"/>
    <w:rsid w:val="00E16DC4"/>
    <w:rsid w:val="00E21955"/>
    <w:rsid w:val="00E221A6"/>
    <w:rsid w:val="00E2635D"/>
    <w:rsid w:val="00E434E9"/>
    <w:rsid w:val="00E43E6B"/>
    <w:rsid w:val="00E46155"/>
    <w:rsid w:val="00E565B9"/>
    <w:rsid w:val="00E61E3F"/>
    <w:rsid w:val="00E71C37"/>
    <w:rsid w:val="00E73DAE"/>
    <w:rsid w:val="00E80813"/>
    <w:rsid w:val="00E84CDC"/>
    <w:rsid w:val="00E9065B"/>
    <w:rsid w:val="00E9083B"/>
    <w:rsid w:val="00E92B0F"/>
    <w:rsid w:val="00E96CFE"/>
    <w:rsid w:val="00EA6BBC"/>
    <w:rsid w:val="00EA6C7F"/>
    <w:rsid w:val="00EB19C8"/>
    <w:rsid w:val="00EC2C7C"/>
    <w:rsid w:val="00ED1585"/>
    <w:rsid w:val="00ED4A53"/>
    <w:rsid w:val="00EE02DB"/>
    <w:rsid w:val="00F05987"/>
    <w:rsid w:val="00F06C2B"/>
    <w:rsid w:val="00F2189C"/>
    <w:rsid w:val="00F22E6A"/>
    <w:rsid w:val="00F30E62"/>
    <w:rsid w:val="00F33CFE"/>
    <w:rsid w:val="00F55604"/>
    <w:rsid w:val="00F55994"/>
    <w:rsid w:val="00F70E21"/>
    <w:rsid w:val="00F71102"/>
    <w:rsid w:val="00F93752"/>
    <w:rsid w:val="00FA091E"/>
    <w:rsid w:val="00FA77A8"/>
    <w:rsid w:val="00FC5ABB"/>
    <w:rsid w:val="00FD7516"/>
    <w:rsid w:val="00FD786B"/>
    <w:rsid w:val="00FE2BC7"/>
    <w:rsid w:val="00FF116C"/>
    <w:rsid w:val="00FF1CE7"/>
    <w:rsid w:val="00FF2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35F761E"/>
  <w15:docId w15:val="{0644D7CC-CF81-47EC-9E50-13084761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8A"/>
  </w:style>
  <w:style w:type="paragraph" w:styleId="Heading1">
    <w:name w:val="heading 1"/>
    <w:basedOn w:val="Normal"/>
    <w:next w:val="Normal"/>
    <w:link w:val="Heading1Char"/>
    <w:uiPriority w:val="9"/>
    <w:qFormat/>
    <w:rsid w:val="00966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53"/>
    <w:rPr>
      <w:color w:val="0000FF" w:themeColor="hyperlink"/>
      <w:u w:val="single"/>
    </w:rPr>
  </w:style>
  <w:style w:type="paragraph" w:styleId="NoSpacing">
    <w:name w:val="No Spacing"/>
    <w:link w:val="NoSpacingChar"/>
    <w:uiPriority w:val="1"/>
    <w:qFormat/>
    <w:rsid w:val="00ED4A53"/>
    <w:pPr>
      <w:spacing w:after="0" w:line="240" w:lineRule="auto"/>
    </w:pPr>
    <w:rPr>
      <w:rFonts w:eastAsiaTheme="minorHAnsi"/>
      <w:lang w:eastAsia="en-US"/>
    </w:rPr>
  </w:style>
  <w:style w:type="paragraph" w:styleId="ListParagraph">
    <w:name w:val="List Paragraph"/>
    <w:basedOn w:val="Normal"/>
    <w:link w:val="ListParagraphChar"/>
    <w:uiPriority w:val="34"/>
    <w:qFormat/>
    <w:rsid w:val="00ED4A53"/>
    <w:pPr>
      <w:ind w:left="720"/>
      <w:contextualSpacing/>
    </w:pPr>
  </w:style>
  <w:style w:type="paragraph" w:customStyle="1" w:styleId="Default">
    <w:name w:val="Default"/>
    <w:rsid w:val="00ED4A5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ED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53"/>
    <w:rPr>
      <w:rFonts w:eastAsiaTheme="minorHAnsi"/>
      <w:lang w:eastAsia="en-US"/>
    </w:rPr>
  </w:style>
  <w:style w:type="paragraph" w:styleId="Footer">
    <w:name w:val="footer"/>
    <w:basedOn w:val="Normal"/>
    <w:link w:val="FooterChar"/>
    <w:unhideWhenUsed/>
    <w:rsid w:val="00ED4A53"/>
    <w:pPr>
      <w:tabs>
        <w:tab w:val="center" w:pos="4513"/>
        <w:tab w:val="right" w:pos="9026"/>
      </w:tabs>
      <w:spacing w:after="0" w:line="240" w:lineRule="auto"/>
    </w:pPr>
  </w:style>
  <w:style w:type="character" w:customStyle="1" w:styleId="FooterChar">
    <w:name w:val="Footer Char"/>
    <w:basedOn w:val="DefaultParagraphFont"/>
    <w:link w:val="Footer"/>
    <w:rsid w:val="00ED4A53"/>
    <w:rPr>
      <w:rFonts w:eastAsiaTheme="minorHAnsi"/>
      <w:lang w:eastAsia="en-US"/>
    </w:rPr>
  </w:style>
  <w:style w:type="character" w:customStyle="1" w:styleId="NoSpacingChar">
    <w:name w:val="No Spacing Char"/>
    <w:basedOn w:val="DefaultParagraphFont"/>
    <w:link w:val="NoSpacing"/>
    <w:uiPriority w:val="1"/>
    <w:locked/>
    <w:rsid w:val="00ED4A53"/>
    <w:rPr>
      <w:rFonts w:eastAsiaTheme="minorHAnsi"/>
      <w:lang w:eastAsia="en-US"/>
    </w:rPr>
  </w:style>
  <w:style w:type="paragraph" w:styleId="TOC1">
    <w:name w:val="toc 1"/>
    <w:basedOn w:val="CoPborderheading"/>
    <w:next w:val="Normal"/>
    <w:autoRedefine/>
    <w:uiPriority w:val="39"/>
    <w:unhideWhenUsed/>
    <w:rsid w:val="00846FB2"/>
    <w:pPr>
      <w:keepNext w:val="0"/>
      <w:keepLines w:val="0"/>
      <w:numPr>
        <w:numId w:val="0"/>
      </w:numPr>
      <w:pBdr>
        <w:top w:val="none" w:sz="0" w:space="0" w:color="auto"/>
        <w:bottom w:val="none" w:sz="0" w:space="0" w:color="auto"/>
      </w:pBdr>
      <w:tabs>
        <w:tab w:val="left" w:pos="567"/>
        <w:tab w:val="left" w:pos="8364"/>
      </w:tabs>
      <w:autoSpaceDE/>
      <w:autoSpaceDN/>
      <w:adjustRightInd/>
      <w:spacing w:before="240" w:after="120" w:line="276" w:lineRule="auto"/>
      <w:jc w:val="left"/>
    </w:pPr>
    <w:rPr>
      <w:rFonts w:ascii="Arial" w:hAnsi="Arial"/>
      <w:b w:val="0"/>
      <w:noProof/>
      <w:color w:val="auto"/>
      <w:sz w:val="28"/>
    </w:rPr>
  </w:style>
  <w:style w:type="paragraph" w:customStyle="1" w:styleId="HeadingListStyle">
    <w:name w:val="Heading List Style"/>
    <w:basedOn w:val="ListParagraph"/>
    <w:qFormat/>
    <w:rsid w:val="00ED4A53"/>
    <w:pPr>
      <w:numPr>
        <w:numId w:val="2"/>
      </w:numPr>
      <w:autoSpaceDE w:val="0"/>
      <w:autoSpaceDN w:val="0"/>
      <w:adjustRightInd w:val="0"/>
      <w:spacing w:after="0" w:line="240" w:lineRule="auto"/>
      <w:jc w:val="both"/>
    </w:pPr>
    <w:rPr>
      <w:rFonts w:ascii="Arial" w:hAnsi="Arial" w:cs="Arial"/>
      <w:b/>
      <w:bCs/>
      <w:color w:val="000000"/>
      <w:sz w:val="20"/>
      <w:szCs w:val="20"/>
      <w:u w:val="single"/>
    </w:rPr>
  </w:style>
  <w:style w:type="paragraph" w:customStyle="1" w:styleId="CoPHeading1">
    <w:name w:val="CoP Heading 1"/>
    <w:basedOn w:val="ListParagraph"/>
    <w:rsid w:val="00ED4A53"/>
    <w:pPr>
      <w:keepNext/>
      <w:numPr>
        <w:numId w:val="4"/>
      </w:numPr>
      <w:spacing w:before="360" w:after="40" w:line="240" w:lineRule="auto"/>
      <w:ind w:left="570" w:hanging="570"/>
      <w:contextualSpacing w:val="0"/>
    </w:pPr>
    <w:rPr>
      <w:rFonts w:ascii="Arial" w:hAnsi="Arial" w:cs="Arial"/>
      <w:b/>
      <w:color w:val="943634" w:themeColor="accent2" w:themeShade="BF"/>
      <w:sz w:val="24"/>
      <w:szCs w:val="24"/>
      <w:lang w:eastAsia="zh-CN"/>
    </w:rPr>
  </w:style>
  <w:style w:type="paragraph" w:styleId="Title">
    <w:name w:val="Title"/>
    <w:basedOn w:val="Normal"/>
    <w:next w:val="Normal"/>
    <w:link w:val="TitleChar"/>
    <w:uiPriority w:val="10"/>
    <w:qFormat/>
    <w:rsid w:val="00176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53"/>
    <w:rPr>
      <w:rFonts w:ascii="Tahoma" w:eastAsiaTheme="minorHAnsi" w:hAnsi="Tahoma" w:cs="Tahoma"/>
      <w:sz w:val="16"/>
      <w:szCs w:val="16"/>
      <w:lang w:eastAsia="en-US"/>
    </w:rPr>
  </w:style>
  <w:style w:type="paragraph" w:customStyle="1" w:styleId="CoPborderheading">
    <w:name w:val="CoP border heading"/>
    <w:basedOn w:val="Normal"/>
    <w:autoRedefine/>
    <w:qFormat/>
    <w:rsid w:val="00846FB2"/>
    <w:pPr>
      <w:keepNext/>
      <w:keepLines/>
      <w:numPr>
        <w:numId w:val="24"/>
      </w:numPr>
      <w:pBdr>
        <w:top w:val="single" w:sz="4" w:space="9" w:color="943634" w:themeColor="accent2" w:themeShade="BF"/>
        <w:bottom w:val="single" w:sz="4" w:space="9" w:color="943634" w:themeColor="accent2" w:themeShade="BF"/>
      </w:pBdr>
      <w:autoSpaceDE w:val="0"/>
      <w:autoSpaceDN w:val="0"/>
      <w:adjustRightInd w:val="0"/>
      <w:spacing w:before="600" w:after="0" w:line="240" w:lineRule="auto"/>
      <w:ind w:left="680" w:hanging="680"/>
      <w:jc w:val="both"/>
    </w:pPr>
    <w:rPr>
      <w:rFonts w:ascii="Arial Bold" w:hAnsi="Arial Bold" w:cs="Arial"/>
      <w:b/>
      <w:bCs/>
      <w:color w:val="943634" w:themeColor="accent2" w:themeShade="BF"/>
      <w:sz w:val="24"/>
      <w:szCs w:val="28"/>
    </w:rPr>
  </w:style>
  <w:style w:type="paragraph" w:customStyle="1" w:styleId="CoPv2Heading">
    <w:name w:val="CoP v2 Heading"/>
    <w:basedOn w:val="Normal"/>
    <w:autoRedefine/>
    <w:qFormat/>
    <w:rsid w:val="00CA5861"/>
    <w:pPr>
      <w:keepNext/>
      <w:spacing w:after="0" w:line="240" w:lineRule="auto"/>
      <w:ind w:left="573" w:hanging="573"/>
    </w:pPr>
    <w:rPr>
      <w:rFonts w:ascii="Arial" w:hAnsi="Arial" w:cs="Arial"/>
      <w:b/>
      <w:color w:val="943634" w:themeColor="accent2" w:themeShade="BF"/>
      <w:sz w:val="24"/>
      <w:szCs w:val="24"/>
      <w:lang w:eastAsia="zh-CN"/>
    </w:rPr>
  </w:style>
  <w:style w:type="paragraph" w:customStyle="1" w:styleId="CoPbodytext">
    <w:name w:val="CoP body text"/>
    <w:basedOn w:val="Normal"/>
    <w:qFormat/>
    <w:rsid w:val="00D23717"/>
    <w:pPr>
      <w:autoSpaceDE w:val="0"/>
      <w:autoSpaceDN w:val="0"/>
      <w:adjustRightInd w:val="0"/>
      <w:spacing w:before="240" w:after="240"/>
      <w:jc w:val="both"/>
    </w:pPr>
    <w:rPr>
      <w:rFonts w:ascii="Arial" w:eastAsia="Times New Roman" w:hAnsi="Arial" w:cs="Arial"/>
      <w:color w:val="000000"/>
    </w:rPr>
  </w:style>
  <w:style w:type="paragraph" w:customStyle="1" w:styleId="CoPbullet">
    <w:name w:val="CoP bullet"/>
    <w:basedOn w:val="ListBullet"/>
    <w:link w:val="CoPbulletChar"/>
    <w:qFormat/>
    <w:rsid w:val="009E4D81"/>
    <w:pPr>
      <w:numPr>
        <w:numId w:val="38"/>
      </w:numPr>
      <w:autoSpaceDE w:val="0"/>
      <w:autoSpaceDN w:val="0"/>
      <w:adjustRightInd w:val="0"/>
      <w:spacing w:before="120" w:after="120" w:line="240" w:lineRule="auto"/>
      <w:ind w:right="346"/>
      <w:contextualSpacing w:val="0"/>
      <w:jc w:val="both"/>
    </w:pPr>
    <w:rPr>
      <w:rFonts w:ascii="Arial" w:hAnsi="Arial" w:cs="Arial"/>
    </w:rPr>
  </w:style>
  <w:style w:type="character" w:customStyle="1" w:styleId="Heading1Char">
    <w:name w:val="Heading 1 Char"/>
    <w:basedOn w:val="DefaultParagraphFont"/>
    <w:link w:val="Heading1"/>
    <w:uiPriority w:val="9"/>
    <w:rsid w:val="009665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96654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66547"/>
    <w:rPr>
      <w:rFonts w:asciiTheme="majorHAnsi" w:eastAsiaTheme="majorEastAsia" w:hAnsiTheme="majorHAnsi" w:cstheme="majorBidi"/>
      <w:b/>
      <w:bCs/>
      <w:color w:val="4F81BD" w:themeColor="accent1"/>
      <w:lang w:eastAsia="en-US"/>
    </w:rPr>
  </w:style>
  <w:style w:type="paragraph" w:customStyle="1" w:styleId="CoPSubHead">
    <w:name w:val="CoP SubHead"/>
    <w:basedOn w:val="CoPbullet"/>
    <w:link w:val="CoPSubHeadChar"/>
    <w:rsid w:val="00920550"/>
    <w:pPr>
      <w:numPr>
        <w:numId w:val="19"/>
      </w:numPr>
      <w:spacing w:before="480"/>
    </w:pPr>
    <w:rPr>
      <w:b/>
      <w:color w:val="943634" w:themeColor="accent2" w:themeShade="BF"/>
    </w:rPr>
  </w:style>
  <w:style w:type="paragraph" w:styleId="TOC2">
    <w:name w:val="toc 2"/>
    <w:basedOn w:val="Style1"/>
    <w:next w:val="Normal"/>
    <w:autoRedefine/>
    <w:uiPriority w:val="39"/>
    <w:unhideWhenUsed/>
    <w:rsid w:val="009E4D81"/>
    <w:pPr>
      <w:numPr>
        <w:ilvl w:val="0"/>
        <w:numId w:val="0"/>
      </w:numPr>
      <w:spacing w:before="120" w:after="0"/>
      <w:ind w:left="220"/>
      <w:contextualSpacing w:val="0"/>
    </w:pPr>
    <w:rPr>
      <w:rFonts w:asciiTheme="minorHAnsi" w:hAnsiTheme="minorHAnsi" w:cstheme="minorBidi"/>
      <w:i/>
      <w:iCs/>
      <w:sz w:val="20"/>
      <w:szCs w:val="20"/>
    </w:rPr>
  </w:style>
  <w:style w:type="character" w:customStyle="1" w:styleId="CoPbulletChar">
    <w:name w:val="CoP bullet Char"/>
    <w:basedOn w:val="DefaultParagraphFont"/>
    <w:link w:val="CoPbullet"/>
    <w:rsid w:val="009E4D81"/>
    <w:rPr>
      <w:rFonts w:ascii="Arial" w:hAnsi="Arial" w:cs="Arial"/>
    </w:rPr>
  </w:style>
  <w:style w:type="character" w:customStyle="1" w:styleId="CoPSubHeadChar">
    <w:name w:val="CoP SubHead Char"/>
    <w:basedOn w:val="CoPbulletChar"/>
    <w:link w:val="CoPSubHead"/>
    <w:rsid w:val="00920550"/>
    <w:rPr>
      <w:rFonts w:ascii="Arial" w:eastAsiaTheme="minorHAnsi" w:hAnsi="Arial" w:cs="Arial"/>
      <w:lang w:eastAsia="en-US"/>
    </w:rPr>
  </w:style>
  <w:style w:type="paragraph" w:styleId="FootnoteText">
    <w:name w:val="footnote text"/>
    <w:basedOn w:val="Normal"/>
    <w:link w:val="FootnoteTextChar"/>
    <w:uiPriority w:val="99"/>
    <w:semiHidden/>
    <w:unhideWhenUsed/>
    <w:rsid w:val="0061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5"/>
    <w:rPr>
      <w:rFonts w:eastAsiaTheme="minorHAnsi"/>
      <w:sz w:val="20"/>
      <w:szCs w:val="20"/>
      <w:lang w:eastAsia="en-US"/>
    </w:rPr>
  </w:style>
  <w:style w:type="character" w:styleId="FootnoteReference">
    <w:name w:val="footnote reference"/>
    <w:basedOn w:val="DefaultParagraphFont"/>
    <w:uiPriority w:val="99"/>
    <w:semiHidden/>
    <w:unhideWhenUsed/>
    <w:rsid w:val="006113B5"/>
    <w:rPr>
      <w:vertAlign w:val="superscript"/>
    </w:rPr>
  </w:style>
  <w:style w:type="character" w:styleId="CommentReference">
    <w:name w:val="annotation reference"/>
    <w:basedOn w:val="DefaultParagraphFont"/>
    <w:uiPriority w:val="99"/>
    <w:semiHidden/>
    <w:unhideWhenUsed/>
    <w:rsid w:val="00315094"/>
    <w:rPr>
      <w:sz w:val="16"/>
      <w:szCs w:val="16"/>
    </w:rPr>
  </w:style>
  <w:style w:type="paragraph" w:styleId="CommentText">
    <w:name w:val="annotation text"/>
    <w:basedOn w:val="Normal"/>
    <w:link w:val="CommentTextChar"/>
    <w:uiPriority w:val="99"/>
    <w:semiHidden/>
    <w:unhideWhenUsed/>
    <w:rsid w:val="00315094"/>
    <w:pPr>
      <w:spacing w:line="240" w:lineRule="auto"/>
    </w:pPr>
    <w:rPr>
      <w:sz w:val="20"/>
      <w:szCs w:val="20"/>
    </w:rPr>
  </w:style>
  <w:style w:type="character" w:customStyle="1" w:styleId="CommentTextChar">
    <w:name w:val="Comment Text Char"/>
    <w:basedOn w:val="DefaultParagraphFont"/>
    <w:link w:val="CommentText"/>
    <w:uiPriority w:val="99"/>
    <w:semiHidden/>
    <w:rsid w:val="00315094"/>
    <w:rPr>
      <w:sz w:val="20"/>
      <w:szCs w:val="20"/>
    </w:rPr>
  </w:style>
  <w:style w:type="paragraph" w:styleId="CommentSubject">
    <w:name w:val="annotation subject"/>
    <w:basedOn w:val="CommentText"/>
    <w:next w:val="CommentText"/>
    <w:link w:val="CommentSubjectChar"/>
    <w:uiPriority w:val="99"/>
    <w:semiHidden/>
    <w:unhideWhenUsed/>
    <w:rsid w:val="00315094"/>
    <w:rPr>
      <w:b/>
      <w:bCs/>
    </w:rPr>
  </w:style>
  <w:style w:type="character" w:customStyle="1" w:styleId="CommentSubjectChar">
    <w:name w:val="Comment Subject Char"/>
    <w:basedOn w:val="CommentTextChar"/>
    <w:link w:val="CommentSubject"/>
    <w:uiPriority w:val="99"/>
    <w:semiHidden/>
    <w:rsid w:val="00315094"/>
    <w:rPr>
      <w:b/>
      <w:bCs/>
      <w:sz w:val="20"/>
      <w:szCs w:val="20"/>
    </w:rPr>
  </w:style>
  <w:style w:type="character" w:styleId="FollowedHyperlink">
    <w:name w:val="FollowedHyperlink"/>
    <w:basedOn w:val="DefaultParagraphFont"/>
    <w:uiPriority w:val="99"/>
    <w:semiHidden/>
    <w:unhideWhenUsed/>
    <w:rsid w:val="00E92B0F"/>
    <w:rPr>
      <w:color w:val="800080" w:themeColor="followedHyperlink"/>
      <w:u w:val="single"/>
    </w:rPr>
  </w:style>
  <w:style w:type="paragraph" w:customStyle="1" w:styleId="Style1">
    <w:name w:val="Style1"/>
    <w:basedOn w:val="ListParagraph"/>
    <w:link w:val="Style1Char"/>
    <w:qFormat/>
    <w:rsid w:val="00A96C21"/>
    <w:pPr>
      <w:numPr>
        <w:ilvl w:val="1"/>
        <w:numId w:val="24"/>
      </w:numPr>
    </w:pPr>
    <w:rPr>
      <w:rFonts w:ascii="Arial" w:hAnsi="Arial" w:cs="Arial"/>
    </w:rPr>
  </w:style>
  <w:style w:type="character" w:customStyle="1" w:styleId="ListParagraphChar">
    <w:name w:val="List Paragraph Char"/>
    <w:basedOn w:val="DefaultParagraphFont"/>
    <w:link w:val="ListParagraph"/>
    <w:uiPriority w:val="34"/>
    <w:rsid w:val="00A96C21"/>
  </w:style>
  <w:style w:type="character" w:customStyle="1" w:styleId="Style1Char">
    <w:name w:val="Style1 Char"/>
    <w:basedOn w:val="ListParagraphChar"/>
    <w:link w:val="Style1"/>
    <w:rsid w:val="00A96C21"/>
    <w:rPr>
      <w:rFonts w:ascii="Arial" w:hAnsi="Arial" w:cs="Arial"/>
    </w:rPr>
  </w:style>
  <w:style w:type="paragraph" w:customStyle="1" w:styleId="expandinner">
    <w:name w:val="expandinner"/>
    <w:basedOn w:val="Normal"/>
    <w:rsid w:val="00FA091E"/>
    <w:pPr>
      <w:spacing w:after="360" w:line="240" w:lineRule="auto"/>
    </w:pPr>
    <w:rPr>
      <w:rFonts w:ascii="Times New Roman" w:eastAsia="Times New Roman" w:hAnsi="Times New Roman" w:cs="Times New Roman"/>
      <w:sz w:val="19"/>
      <w:szCs w:val="19"/>
    </w:rPr>
  </w:style>
  <w:style w:type="character" w:customStyle="1" w:styleId="TitleChar">
    <w:name w:val="Title Char"/>
    <w:basedOn w:val="DefaultParagraphFont"/>
    <w:link w:val="Title"/>
    <w:uiPriority w:val="10"/>
    <w:rsid w:val="00176069"/>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TOC3"/>
    <w:qFormat/>
    <w:rsid w:val="00662AC8"/>
    <w:pPr>
      <w:numPr>
        <w:ilvl w:val="2"/>
        <w:numId w:val="24"/>
      </w:numPr>
    </w:pPr>
  </w:style>
  <w:style w:type="paragraph" w:styleId="TOC3">
    <w:name w:val="toc 3"/>
    <w:basedOn w:val="CoPNumberlevel2"/>
    <w:next w:val="Normal"/>
    <w:autoRedefine/>
    <w:uiPriority w:val="39"/>
    <w:unhideWhenUsed/>
    <w:rsid w:val="00662AC8"/>
    <w:pPr>
      <w:numPr>
        <w:ilvl w:val="0"/>
        <w:numId w:val="0"/>
      </w:numPr>
      <w:spacing w:after="0"/>
      <w:ind w:left="440"/>
    </w:pPr>
    <w:rPr>
      <w:rFonts w:asciiTheme="minorHAnsi" w:hAnsiTheme="minorHAnsi" w:cstheme="minorBidi"/>
      <w:sz w:val="20"/>
      <w:szCs w:val="20"/>
    </w:rPr>
  </w:style>
  <w:style w:type="paragraph" w:styleId="TOCHeading">
    <w:name w:val="TOC Heading"/>
    <w:basedOn w:val="Heading1"/>
    <w:next w:val="Normal"/>
    <w:uiPriority w:val="39"/>
    <w:semiHidden/>
    <w:unhideWhenUsed/>
    <w:qFormat/>
    <w:rsid w:val="00662AC8"/>
    <w:pPr>
      <w:outlineLvl w:val="9"/>
    </w:pPr>
    <w:rPr>
      <w:lang w:val="en-US" w:eastAsia="ja-JP"/>
    </w:rPr>
  </w:style>
  <w:style w:type="paragraph" w:customStyle="1" w:styleId="CoPNumberlevel1">
    <w:name w:val="CoP Number level 1"/>
    <w:basedOn w:val="Style1"/>
    <w:qFormat/>
    <w:rsid w:val="00846FB2"/>
    <w:pPr>
      <w:spacing w:before="240" w:after="120"/>
      <w:ind w:left="680" w:hanging="680"/>
      <w:contextualSpacing w:val="0"/>
    </w:pPr>
  </w:style>
  <w:style w:type="paragraph" w:customStyle="1" w:styleId="CoPNumberlevel2">
    <w:name w:val="CoP Number level 2"/>
    <w:basedOn w:val="Style1"/>
    <w:qFormat/>
    <w:rsid w:val="00846FB2"/>
    <w:pPr>
      <w:numPr>
        <w:ilvl w:val="2"/>
      </w:numPr>
      <w:spacing w:before="120" w:after="240"/>
      <w:ind w:left="1644" w:hanging="964"/>
      <w:contextualSpacing w:val="0"/>
    </w:pPr>
  </w:style>
  <w:style w:type="paragraph" w:styleId="TOC4">
    <w:name w:val="toc 4"/>
    <w:basedOn w:val="Normal"/>
    <w:next w:val="Normal"/>
    <w:autoRedefine/>
    <w:uiPriority w:val="39"/>
    <w:unhideWhenUsed/>
    <w:rsid w:val="00876075"/>
    <w:pPr>
      <w:spacing w:after="0"/>
      <w:ind w:left="660"/>
    </w:pPr>
    <w:rPr>
      <w:sz w:val="20"/>
      <w:szCs w:val="20"/>
    </w:rPr>
  </w:style>
  <w:style w:type="paragraph" w:styleId="TOC5">
    <w:name w:val="toc 5"/>
    <w:basedOn w:val="Normal"/>
    <w:next w:val="Normal"/>
    <w:autoRedefine/>
    <w:uiPriority w:val="39"/>
    <w:unhideWhenUsed/>
    <w:rsid w:val="00876075"/>
    <w:pPr>
      <w:spacing w:after="0"/>
      <w:ind w:left="880"/>
    </w:pPr>
    <w:rPr>
      <w:sz w:val="20"/>
      <w:szCs w:val="20"/>
    </w:rPr>
  </w:style>
  <w:style w:type="paragraph" w:styleId="TOC6">
    <w:name w:val="toc 6"/>
    <w:basedOn w:val="Normal"/>
    <w:next w:val="Normal"/>
    <w:autoRedefine/>
    <w:uiPriority w:val="39"/>
    <w:unhideWhenUsed/>
    <w:rsid w:val="00876075"/>
    <w:pPr>
      <w:spacing w:after="0"/>
      <w:ind w:left="1100"/>
    </w:pPr>
    <w:rPr>
      <w:sz w:val="20"/>
      <w:szCs w:val="20"/>
    </w:rPr>
  </w:style>
  <w:style w:type="paragraph" w:styleId="TOC7">
    <w:name w:val="toc 7"/>
    <w:basedOn w:val="Normal"/>
    <w:next w:val="Normal"/>
    <w:autoRedefine/>
    <w:uiPriority w:val="39"/>
    <w:unhideWhenUsed/>
    <w:rsid w:val="00876075"/>
    <w:pPr>
      <w:spacing w:after="0"/>
      <w:ind w:left="1320"/>
    </w:pPr>
    <w:rPr>
      <w:sz w:val="20"/>
      <w:szCs w:val="20"/>
    </w:rPr>
  </w:style>
  <w:style w:type="paragraph" w:styleId="TOC8">
    <w:name w:val="toc 8"/>
    <w:basedOn w:val="Normal"/>
    <w:next w:val="Normal"/>
    <w:autoRedefine/>
    <w:uiPriority w:val="39"/>
    <w:unhideWhenUsed/>
    <w:rsid w:val="00876075"/>
    <w:pPr>
      <w:spacing w:after="0"/>
      <w:ind w:left="1540"/>
    </w:pPr>
    <w:rPr>
      <w:sz w:val="20"/>
      <w:szCs w:val="20"/>
    </w:rPr>
  </w:style>
  <w:style w:type="paragraph" w:styleId="TOC9">
    <w:name w:val="toc 9"/>
    <w:basedOn w:val="Normal"/>
    <w:next w:val="Normal"/>
    <w:autoRedefine/>
    <w:uiPriority w:val="39"/>
    <w:unhideWhenUsed/>
    <w:rsid w:val="00876075"/>
    <w:pPr>
      <w:spacing w:after="0"/>
      <w:ind w:left="1760"/>
    </w:pPr>
    <w:rPr>
      <w:sz w:val="20"/>
      <w:szCs w:val="20"/>
    </w:rPr>
  </w:style>
  <w:style w:type="paragraph" w:styleId="ListBullet">
    <w:name w:val="List Bullet"/>
    <w:basedOn w:val="Normal"/>
    <w:uiPriority w:val="99"/>
    <w:semiHidden/>
    <w:unhideWhenUsed/>
    <w:rsid w:val="00876075"/>
    <w:pPr>
      <w:numPr>
        <w:numId w:val="5"/>
      </w:numPr>
      <w:contextualSpacing/>
    </w:pPr>
  </w:style>
  <w:style w:type="paragraph" w:styleId="Revision">
    <w:name w:val="Revision"/>
    <w:hidden/>
    <w:uiPriority w:val="99"/>
    <w:semiHidden/>
    <w:rsid w:val="00585CB7"/>
    <w:pPr>
      <w:spacing w:after="0" w:line="240" w:lineRule="auto"/>
    </w:pPr>
  </w:style>
  <w:style w:type="paragraph" w:customStyle="1" w:styleId="Style5">
    <w:name w:val="Style5"/>
    <w:basedOn w:val="Style2"/>
    <w:qFormat/>
    <w:rsid w:val="00B240ED"/>
    <w:pPr>
      <w:numPr>
        <w:ilvl w:val="0"/>
        <w:numId w:val="0"/>
      </w:numPr>
      <w:tabs>
        <w:tab w:val="left" w:pos="2552"/>
      </w:tabs>
      <w:spacing w:after="120"/>
      <w:ind w:left="2410" w:hanging="85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063">
      <w:bodyDiv w:val="1"/>
      <w:marLeft w:val="0"/>
      <w:marRight w:val="0"/>
      <w:marTop w:val="0"/>
      <w:marBottom w:val="0"/>
      <w:divBdr>
        <w:top w:val="none" w:sz="0" w:space="0" w:color="auto"/>
        <w:left w:val="none" w:sz="0" w:space="0" w:color="auto"/>
        <w:bottom w:val="none" w:sz="0" w:space="0" w:color="auto"/>
        <w:right w:val="none" w:sz="0" w:space="0" w:color="auto"/>
      </w:divBdr>
    </w:div>
    <w:div w:id="433134427">
      <w:bodyDiv w:val="1"/>
      <w:marLeft w:val="0"/>
      <w:marRight w:val="0"/>
      <w:marTop w:val="0"/>
      <w:marBottom w:val="0"/>
      <w:divBdr>
        <w:top w:val="none" w:sz="0" w:space="0" w:color="auto"/>
        <w:left w:val="none" w:sz="0" w:space="0" w:color="auto"/>
        <w:bottom w:val="none" w:sz="0" w:space="0" w:color="auto"/>
        <w:right w:val="none" w:sz="0" w:space="0" w:color="auto"/>
      </w:divBdr>
    </w:div>
    <w:div w:id="16247292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82">
          <w:marLeft w:val="0"/>
          <w:marRight w:val="0"/>
          <w:marTop w:val="0"/>
          <w:marBottom w:val="0"/>
          <w:divBdr>
            <w:top w:val="none" w:sz="0" w:space="0" w:color="auto"/>
            <w:left w:val="none" w:sz="0" w:space="0" w:color="auto"/>
            <w:bottom w:val="none" w:sz="0" w:space="0" w:color="auto"/>
            <w:right w:val="none" w:sz="0" w:space="0" w:color="auto"/>
          </w:divBdr>
          <w:divsChild>
            <w:div w:id="1086612318">
              <w:marLeft w:val="0"/>
              <w:marRight w:val="0"/>
              <w:marTop w:val="0"/>
              <w:marBottom w:val="0"/>
              <w:divBdr>
                <w:top w:val="single" w:sz="6" w:space="0" w:color="D9D8D8"/>
                <w:left w:val="none" w:sz="0" w:space="0" w:color="auto"/>
                <w:bottom w:val="none" w:sz="0" w:space="0" w:color="auto"/>
                <w:right w:val="none" w:sz="0" w:space="0" w:color="auto"/>
              </w:divBdr>
              <w:divsChild>
                <w:div w:id="2084059905">
                  <w:marLeft w:val="0"/>
                  <w:marRight w:val="0"/>
                  <w:marTop w:val="0"/>
                  <w:marBottom w:val="0"/>
                  <w:divBdr>
                    <w:top w:val="none" w:sz="0" w:space="0" w:color="auto"/>
                    <w:left w:val="none" w:sz="0" w:space="0" w:color="auto"/>
                    <w:bottom w:val="none" w:sz="0" w:space="0" w:color="auto"/>
                    <w:right w:val="none" w:sz="0" w:space="0" w:color="auto"/>
                  </w:divBdr>
                  <w:divsChild>
                    <w:div w:id="1833449135">
                      <w:marLeft w:val="0"/>
                      <w:marRight w:val="0"/>
                      <w:marTop w:val="0"/>
                      <w:marBottom w:val="0"/>
                      <w:divBdr>
                        <w:top w:val="none" w:sz="0" w:space="0" w:color="auto"/>
                        <w:left w:val="none" w:sz="0" w:space="0" w:color="auto"/>
                        <w:bottom w:val="none" w:sz="0" w:space="0" w:color="auto"/>
                        <w:right w:val="none" w:sz="0" w:space="0" w:color="auto"/>
                      </w:divBdr>
                      <w:divsChild>
                        <w:div w:id="1192720071">
                          <w:marLeft w:val="0"/>
                          <w:marRight w:val="0"/>
                          <w:marTop w:val="0"/>
                          <w:marBottom w:val="0"/>
                          <w:divBdr>
                            <w:top w:val="none" w:sz="0" w:space="0" w:color="auto"/>
                            <w:left w:val="none" w:sz="0" w:space="0" w:color="auto"/>
                            <w:bottom w:val="none" w:sz="0" w:space="0" w:color="auto"/>
                            <w:right w:val="none" w:sz="0" w:space="0" w:color="auto"/>
                          </w:divBdr>
                          <w:divsChild>
                            <w:div w:id="809715105">
                              <w:marLeft w:val="0"/>
                              <w:marRight w:val="0"/>
                              <w:marTop w:val="0"/>
                              <w:marBottom w:val="0"/>
                              <w:divBdr>
                                <w:top w:val="none" w:sz="0" w:space="0" w:color="auto"/>
                                <w:left w:val="none" w:sz="0" w:space="0" w:color="auto"/>
                                <w:bottom w:val="none" w:sz="0" w:space="0" w:color="auto"/>
                                <w:right w:val="none" w:sz="0" w:space="0" w:color="auto"/>
                              </w:divBdr>
                              <w:divsChild>
                                <w:div w:id="2110419910">
                                  <w:marLeft w:val="0"/>
                                  <w:marRight w:val="0"/>
                                  <w:marTop w:val="0"/>
                                  <w:marBottom w:val="0"/>
                                  <w:divBdr>
                                    <w:top w:val="none" w:sz="0" w:space="0" w:color="auto"/>
                                    <w:left w:val="none" w:sz="0" w:space="0" w:color="auto"/>
                                    <w:bottom w:val="none" w:sz="0" w:space="0" w:color="auto"/>
                                    <w:right w:val="none" w:sz="0" w:space="0" w:color="auto"/>
                                  </w:divBdr>
                                  <w:divsChild>
                                    <w:div w:id="241834129">
                                      <w:marLeft w:val="0"/>
                                      <w:marRight w:val="0"/>
                                      <w:marTop w:val="100"/>
                                      <w:marBottom w:val="100"/>
                                      <w:divBdr>
                                        <w:top w:val="none" w:sz="0" w:space="0" w:color="auto"/>
                                        <w:left w:val="none" w:sz="0" w:space="0" w:color="auto"/>
                                        <w:bottom w:val="none" w:sz="0" w:space="0" w:color="auto"/>
                                        <w:right w:val="none" w:sz="0" w:space="0" w:color="auto"/>
                                      </w:divBdr>
                                      <w:divsChild>
                                        <w:div w:id="1382904824">
                                          <w:marLeft w:val="0"/>
                                          <w:marRight w:val="0"/>
                                          <w:marTop w:val="120"/>
                                          <w:marBottom w:val="0"/>
                                          <w:divBdr>
                                            <w:top w:val="none" w:sz="0" w:space="0" w:color="auto"/>
                                            <w:left w:val="none" w:sz="0" w:space="0" w:color="auto"/>
                                            <w:bottom w:val="none" w:sz="0" w:space="0" w:color="auto"/>
                                            <w:right w:val="none" w:sz="0" w:space="0" w:color="auto"/>
                                          </w:divBdr>
                                          <w:divsChild>
                                            <w:div w:id="1718163636">
                                              <w:marLeft w:val="0"/>
                                              <w:marRight w:val="0"/>
                                              <w:marTop w:val="0"/>
                                              <w:marBottom w:val="0"/>
                                              <w:divBdr>
                                                <w:top w:val="none" w:sz="0" w:space="0" w:color="auto"/>
                                                <w:left w:val="none" w:sz="0" w:space="0" w:color="auto"/>
                                                <w:bottom w:val="none" w:sz="0" w:space="0" w:color="auto"/>
                                                <w:right w:val="none" w:sz="0" w:space="0" w:color="auto"/>
                                              </w:divBdr>
                                              <w:divsChild>
                                                <w:div w:id="2101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224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5">
          <w:marLeft w:val="0"/>
          <w:marRight w:val="0"/>
          <w:marTop w:val="0"/>
          <w:marBottom w:val="0"/>
          <w:divBdr>
            <w:top w:val="none" w:sz="0" w:space="0" w:color="auto"/>
            <w:left w:val="none" w:sz="0" w:space="0" w:color="auto"/>
            <w:bottom w:val="none" w:sz="0" w:space="0" w:color="auto"/>
            <w:right w:val="none" w:sz="0" w:space="0" w:color="auto"/>
          </w:divBdr>
          <w:divsChild>
            <w:div w:id="1860239960">
              <w:marLeft w:val="0"/>
              <w:marRight w:val="0"/>
              <w:marTop w:val="0"/>
              <w:marBottom w:val="0"/>
              <w:divBdr>
                <w:top w:val="single" w:sz="6" w:space="0" w:color="D9D8D8"/>
                <w:left w:val="none" w:sz="0" w:space="0" w:color="auto"/>
                <w:bottom w:val="none" w:sz="0" w:space="0" w:color="auto"/>
                <w:right w:val="none" w:sz="0" w:space="0" w:color="auto"/>
              </w:divBdr>
              <w:divsChild>
                <w:div w:id="822041229">
                  <w:marLeft w:val="0"/>
                  <w:marRight w:val="0"/>
                  <w:marTop w:val="0"/>
                  <w:marBottom w:val="0"/>
                  <w:divBdr>
                    <w:top w:val="none" w:sz="0" w:space="0" w:color="auto"/>
                    <w:left w:val="none" w:sz="0" w:space="0" w:color="auto"/>
                    <w:bottom w:val="none" w:sz="0" w:space="0" w:color="auto"/>
                    <w:right w:val="none" w:sz="0" w:space="0" w:color="auto"/>
                  </w:divBdr>
                  <w:divsChild>
                    <w:div w:id="1835490578">
                      <w:marLeft w:val="0"/>
                      <w:marRight w:val="0"/>
                      <w:marTop w:val="0"/>
                      <w:marBottom w:val="0"/>
                      <w:divBdr>
                        <w:top w:val="none" w:sz="0" w:space="0" w:color="auto"/>
                        <w:left w:val="none" w:sz="0" w:space="0" w:color="auto"/>
                        <w:bottom w:val="none" w:sz="0" w:space="0" w:color="auto"/>
                        <w:right w:val="none" w:sz="0" w:space="0" w:color="auto"/>
                      </w:divBdr>
                      <w:divsChild>
                        <w:div w:id="680009012">
                          <w:marLeft w:val="0"/>
                          <w:marRight w:val="0"/>
                          <w:marTop w:val="0"/>
                          <w:marBottom w:val="0"/>
                          <w:divBdr>
                            <w:top w:val="none" w:sz="0" w:space="0" w:color="auto"/>
                            <w:left w:val="none" w:sz="0" w:space="0" w:color="auto"/>
                            <w:bottom w:val="none" w:sz="0" w:space="0" w:color="auto"/>
                            <w:right w:val="none" w:sz="0" w:space="0" w:color="auto"/>
                          </w:divBdr>
                          <w:divsChild>
                            <w:div w:id="1189563745">
                              <w:marLeft w:val="0"/>
                              <w:marRight w:val="0"/>
                              <w:marTop w:val="0"/>
                              <w:marBottom w:val="0"/>
                              <w:divBdr>
                                <w:top w:val="none" w:sz="0" w:space="0" w:color="auto"/>
                                <w:left w:val="none" w:sz="0" w:space="0" w:color="auto"/>
                                <w:bottom w:val="none" w:sz="0" w:space="0" w:color="auto"/>
                                <w:right w:val="none" w:sz="0" w:space="0" w:color="auto"/>
                              </w:divBdr>
                              <w:divsChild>
                                <w:div w:id="419763480">
                                  <w:marLeft w:val="0"/>
                                  <w:marRight w:val="0"/>
                                  <w:marTop w:val="0"/>
                                  <w:marBottom w:val="0"/>
                                  <w:divBdr>
                                    <w:top w:val="none" w:sz="0" w:space="0" w:color="auto"/>
                                    <w:left w:val="none" w:sz="0" w:space="0" w:color="auto"/>
                                    <w:bottom w:val="none" w:sz="0" w:space="0" w:color="auto"/>
                                    <w:right w:val="none" w:sz="0" w:space="0" w:color="auto"/>
                                  </w:divBdr>
                                  <w:divsChild>
                                    <w:div w:id="708645132">
                                      <w:marLeft w:val="0"/>
                                      <w:marRight w:val="0"/>
                                      <w:marTop w:val="100"/>
                                      <w:marBottom w:val="100"/>
                                      <w:divBdr>
                                        <w:top w:val="none" w:sz="0" w:space="0" w:color="auto"/>
                                        <w:left w:val="none" w:sz="0" w:space="0" w:color="auto"/>
                                        <w:bottom w:val="none" w:sz="0" w:space="0" w:color="auto"/>
                                        <w:right w:val="none" w:sz="0" w:space="0" w:color="auto"/>
                                      </w:divBdr>
                                      <w:divsChild>
                                        <w:div w:id="376203603">
                                          <w:marLeft w:val="0"/>
                                          <w:marRight w:val="0"/>
                                          <w:marTop w:val="120"/>
                                          <w:marBottom w:val="0"/>
                                          <w:divBdr>
                                            <w:top w:val="none" w:sz="0" w:space="0" w:color="auto"/>
                                            <w:left w:val="none" w:sz="0" w:space="0" w:color="auto"/>
                                            <w:bottom w:val="none" w:sz="0" w:space="0" w:color="auto"/>
                                            <w:right w:val="none" w:sz="0" w:space="0" w:color="auto"/>
                                          </w:divBdr>
                                          <w:divsChild>
                                            <w:div w:id="948202494">
                                              <w:marLeft w:val="0"/>
                                              <w:marRight w:val="0"/>
                                              <w:marTop w:val="0"/>
                                              <w:marBottom w:val="0"/>
                                              <w:divBdr>
                                                <w:top w:val="none" w:sz="0" w:space="0" w:color="auto"/>
                                                <w:left w:val="none" w:sz="0" w:space="0" w:color="auto"/>
                                                <w:bottom w:val="none" w:sz="0" w:space="0" w:color="auto"/>
                                                <w:right w:val="none" w:sz="0" w:space="0" w:color="auto"/>
                                              </w:divBdr>
                                              <w:divsChild>
                                                <w:div w:id="91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043900">
      <w:bodyDiv w:val="1"/>
      <w:marLeft w:val="0"/>
      <w:marRight w:val="0"/>
      <w:marTop w:val="0"/>
      <w:marBottom w:val="0"/>
      <w:divBdr>
        <w:top w:val="none" w:sz="0" w:space="0" w:color="auto"/>
        <w:left w:val="none" w:sz="0" w:space="0" w:color="auto"/>
        <w:bottom w:val="none" w:sz="0" w:space="0" w:color="auto"/>
        <w:right w:val="none" w:sz="0" w:space="0" w:color="auto"/>
      </w:divBdr>
      <w:divsChild>
        <w:div w:id="1996182310">
          <w:marLeft w:val="0"/>
          <w:marRight w:val="0"/>
          <w:marTop w:val="0"/>
          <w:marBottom w:val="0"/>
          <w:divBdr>
            <w:top w:val="none" w:sz="0" w:space="0" w:color="auto"/>
            <w:left w:val="none" w:sz="0" w:space="0" w:color="auto"/>
            <w:bottom w:val="none" w:sz="0" w:space="0" w:color="auto"/>
            <w:right w:val="none" w:sz="0" w:space="0" w:color="auto"/>
          </w:divBdr>
          <w:divsChild>
            <w:div w:id="104545431">
              <w:marLeft w:val="0"/>
              <w:marRight w:val="0"/>
              <w:marTop w:val="0"/>
              <w:marBottom w:val="0"/>
              <w:divBdr>
                <w:top w:val="single" w:sz="6" w:space="0" w:color="D9D8D8"/>
                <w:left w:val="none" w:sz="0" w:space="0" w:color="auto"/>
                <w:bottom w:val="none" w:sz="0" w:space="0" w:color="auto"/>
                <w:right w:val="none" w:sz="0" w:space="0" w:color="auto"/>
              </w:divBdr>
              <w:divsChild>
                <w:div w:id="1418405797">
                  <w:marLeft w:val="0"/>
                  <w:marRight w:val="0"/>
                  <w:marTop w:val="0"/>
                  <w:marBottom w:val="0"/>
                  <w:divBdr>
                    <w:top w:val="none" w:sz="0" w:space="0" w:color="auto"/>
                    <w:left w:val="none" w:sz="0" w:space="0" w:color="auto"/>
                    <w:bottom w:val="none" w:sz="0" w:space="0" w:color="auto"/>
                    <w:right w:val="none" w:sz="0" w:space="0" w:color="auto"/>
                  </w:divBdr>
                  <w:divsChild>
                    <w:div w:id="167406481">
                      <w:marLeft w:val="0"/>
                      <w:marRight w:val="0"/>
                      <w:marTop w:val="0"/>
                      <w:marBottom w:val="0"/>
                      <w:divBdr>
                        <w:top w:val="none" w:sz="0" w:space="0" w:color="auto"/>
                        <w:left w:val="none" w:sz="0" w:space="0" w:color="auto"/>
                        <w:bottom w:val="none" w:sz="0" w:space="0" w:color="auto"/>
                        <w:right w:val="none" w:sz="0" w:space="0" w:color="auto"/>
                      </w:divBdr>
                      <w:divsChild>
                        <w:div w:id="1818061745">
                          <w:marLeft w:val="0"/>
                          <w:marRight w:val="0"/>
                          <w:marTop w:val="0"/>
                          <w:marBottom w:val="0"/>
                          <w:divBdr>
                            <w:top w:val="none" w:sz="0" w:space="0" w:color="auto"/>
                            <w:left w:val="none" w:sz="0" w:space="0" w:color="auto"/>
                            <w:bottom w:val="none" w:sz="0" w:space="0" w:color="auto"/>
                            <w:right w:val="none" w:sz="0" w:space="0" w:color="auto"/>
                          </w:divBdr>
                          <w:divsChild>
                            <w:div w:id="239680842">
                              <w:marLeft w:val="0"/>
                              <w:marRight w:val="0"/>
                              <w:marTop w:val="0"/>
                              <w:marBottom w:val="0"/>
                              <w:divBdr>
                                <w:top w:val="none" w:sz="0" w:space="0" w:color="auto"/>
                                <w:left w:val="none" w:sz="0" w:space="0" w:color="auto"/>
                                <w:bottom w:val="none" w:sz="0" w:space="0" w:color="auto"/>
                                <w:right w:val="none" w:sz="0" w:space="0" w:color="auto"/>
                              </w:divBdr>
                              <w:divsChild>
                                <w:div w:id="1639383290">
                                  <w:marLeft w:val="0"/>
                                  <w:marRight w:val="0"/>
                                  <w:marTop w:val="0"/>
                                  <w:marBottom w:val="0"/>
                                  <w:divBdr>
                                    <w:top w:val="none" w:sz="0" w:space="0" w:color="auto"/>
                                    <w:left w:val="none" w:sz="0" w:space="0" w:color="auto"/>
                                    <w:bottom w:val="none" w:sz="0" w:space="0" w:color="auto"/>
                                    <w:right w:val="none" w:sz="0" w:space="0" w:color="auto"/>
                                  </w:divBdr>
                                  <w:divsChild>
                                    <w:div w:id="877356172">
                                      <w:marLeft w:val="0"/>
                                      <w:marRight w:val="0"/>
                                      <w:marTop w:val="100"/>
                                      <w:marBottom w:val="100"/>
                                      <w:divBdr>
                                        <w:top w:val="none" w:sz="0" w:space="0" w:color="auto"/>
                                        <w:left w:val="none" w:sz="0" w:space="0" w:color="auto"/>
                                        <w:bottom w:val="none" w:sz="0" w:space="0" w:color="auto"/>
                                        <w:right w:val="none" w:sz="0" w:space="0" w:color="auto"/>
                                      </w:divBdr>
                                      <w:divsChild>
                                        <w:div w:id="1490753726">
                                          <w:marLeft w:val="0"/>
                                          <w:marRight w:val="0"/>
                                          <w:marTop w:val="120"/>
                                          <w:marBottom w:val="0"/>
                                          <w:divBdr>
                                            <w:top w:val="none" w:sz="0" w:space="0" w:color="auto"/>
                                            <w:left w:val="none" w:sz="0" w:space="0" w:color="auto"/>
                                            <w:bottom w:val="none" w:sz="0" w:space="0" w:color="auto"/>
                                            <w:right w:val="none" w:sz="0" w:space="0" w:color="auto"/>
                                          </w:divBdr>
                                          <w:divsChild>
                                            <w:div w:id="1253006905">
                                              <w:marLeft w:val="0"/>
                                              <w:marRight w:val="0"/>
                                              <w:marTop w:val="0"/>
                                              <w:marBottom w:val="0"/>
                                              <w:divBdr>
                                                <w:top w:val="none" w:sz="0" w:space="0" w:color="auto"/>
                                                <w:left w:val="none" w:sz="0" w:space="0" w:color="auto"/>
                                                <w:bottom w:val="none" w:sz="0" w:space="0" w:color="auto"/>
                                                <w:right w:val="none" w:sz="0" w:space="0" w:color="auto"/>
                                              </w:divBdr>
                                              <w:divsChild>
                                                <w:div w:id="169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iah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sher\AppData\Roaming\Microsoft\Templates\C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4278-EF36-47E3-BF39-40E28CC4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 Template</Template>
  <TotalTime>10</TotalTime>
  <Pages>9</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jfisher</dc:creator>
  <cp:lastModifiedBy>Ruth Pollard</cp:lastModifiedBy>
  <cp:revision>3</cp:revision>
  <cp:lastPrinted>2017-10-27T15:50:00Z</cp:lastPrinted>
  <dcterms:created xsi:type="dcterms:W3CDTF">2019-01-21T12:42:00Z</dcterms:created>
  <dcterms:modified xsi:type="dcterms:W3CDTF">2019-01-29T15:35:00Z</dcterms:modified>
</cp:coreProperties>
</file>