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Tr="00C2005B">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853D2A" w:rsidRDefault="00853D2A" w:rsidP="00CA5861">
            <w:r>
              <w:rPr>
                <w:noProof/>
              </w:rPr>
              <w:drawing>
                <wp:anchor distT="0" distB="0" distL="114300" distR="114300" simplePos="0" relativeHeight="251659264" behindDoc="0" locked="0" layoutInCell="1" allowOverlap="1" wp14:anchorId="28161537" wp14:editId="7238A051">
                  <wp:simplePos x="0" y="0"/>
                  <wp:positionH relativeFrom="margin">
                    <wp:posOffset>4345940</wp:posOffset>
                  </wp:positionH>
                  <wp:positionV relativeFrom="margin">
                    <wp:posOffset>112395</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rsidR="00853D2A" w:rsidRDefault="00853D2A" w:rsidP="00853D2A"/>
          <w:p w:rsidR="00C001F3" w:rsidRPr="00C001F3" w:rsidRDefault="00853D2A" w:rsidP="00853D2A">
            <w:pPr>
              <w:tabs>
                <w:tab w:val="left" w:pos="8205"/>
              </w:tabs>
              <w:rPr>
                <w:b/>
              </w:rPr>
            </w:pPr>
            <w:r>
              <w:tab/>
            </w:r>
          </w:p>
          <w:p w:rsidR="00ED4A53" w:rsidRPr="00C001F3" w:rsidRDefault="00C001F3" w:rsidP="00C001F3">
            <w:pPr>
              <w:tabs>
                <w:tab w:val="left" w:pos="7095"/>
              </w:tabs>
            </w:pPr>
            <w:r>
              <w:tab/>
            </w:r>
          </w:p>
        </w:tc>
      </w:tr>
      <w:tr w:rsidR="00ED4A53"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rsidR="00ED4A53" w:rsidRPr="00BA0B6B" w:rsidRDefault="00C659A9" w:rsidP="007569D7">
            <w:pPr>
              <w:pStyle w:val="NoSpacing"/>
              <w:spacing w:before="240" w:after="240"/>
              <w:rPr>
                <w:rFonts w:ascii="Arial" w:eastAsia="Times New Roman" w:hAnsi="Arial" w:cs="Arial"/>
                <w:sz w:val="64"/>
                <w:szCs w:val="64"/>
              </w:rPr>
            </w:pPr>
            <w:r w:rsidRPr="00BA0B6B">
              <w:rPr>
                <w:rFonts w:ascii="Arial" w:eastAsia="Times New Roman" w:hAnsi="Arial" w:cs="Arial"/>
                <w:b/>
                <w:sz w:val="64"/>
                <w:szCs w:val="64"/>
              </w:rPr>
              <w:t xml:space="preserve">Code of Practice on </w:t>
            </w:r>
            <w:r w:rsidR="007864B8" w:rsidRPr="00BA0B6B">
              <w:rPr>
                <w:rFonts w:ascii="Arial" w:eastAsia="Times New Roman" w:hAnsi="Arial" w:cs="Arial"/>
                <w:b/>
                <w:sz w:val="64"/>
                <w:szCs w:val="64"/>
              </w:rPr>
              <w:t>External Examining of Taught Programmes</w:t>
            </w:r>
          </w:p>
        </w:tc>
      </w:tr>
      <w:tr w:rsidR="00ED4A53"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rsidR="00ED4A53" w:rsidRPr="00D615B9" w:rsidRDefault="00ED4A53" w:rsidP="00CA5861">
            <w:pPr>
              <w:pStyle w:val="NoSpacing"/>
              <w:spacing w:before="240" w:after="240"/>
              <w:jc w:val="center"/>
              <w:rPr>
                <w:rFonts w:ascii="Arial" w:eastAsia="Times New Roman" w:hAnsi="Arial" w:cs="Arial"/>
                <w:b/>
                <w:sz w:val="44"/>
                <w:szCs w:val="44"/>
              </w:rPr>
            </w:pPr>
          </w:p>
        </w:tc>
      </w:tr>
      <w:tr w:rsidR="00ED4A53"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rsidTr="00805611">
              <w:trPr>
                <w:trHeight w:val="397"/>
              </w:trPr>
              <w:tc>
                <w:tcPr>
                  <w:tcW w:w="2371" w:type="pct"/>
                  <w:vAlign w:val="center"/>
                  <w:hideMark/>
                </w:tcPr>
                <w:p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rsidR="00AF57E6" w:rsidRPr="00805611" w:rsidRDefault="007B0E08" w:rsidP="00AF57E6">
                  <w:pPr>
                    <w:pStyle w:val="NoSpacing"/>
                    <w:spacing w:before="120" w:after="120"/>
                    <w:rPr>
                      <w:rFonts w:ascii="Arial" w:hAnsi="Arial" w:cs="Arial"/>
                    </w:rPr>
                  </w:pPr>
                  <w:r>
                    <w:rPr>
                      <w:rFonts w:ascii="Arial" w:hAnsi="Arial" w:cs="Arial"/>
                    </w:rPr>
                    <w:t>LT COP 0</w:t>
                  </w:r>
                  <w:r w:rsidR="000D0506">
                    <w:rPr>
                      <w:rFonts w:ascii="Arial" w:hAnsi="Arial" w:cs="Arial"/>
                    </w:rPr>
                    <w:t>6</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rsidR="00AF57E6" w:rsidRPr="00805611" w:rsidRDefault="005F4FC1" w:rsidP="00B527D3">
                  <w:pPr>
                    <w:pStyle w:val="NoSpacing"/>
                    <w:spacing w:before="120" w:after="120"/>
                    <w:rPr>
                      <w:rFonts w:ascii="Arial" w:hAnsi="Arial" w:cs="Arial"/>
                    </w:rPr>
                  </w:pPr>
                  <w:r>
                    <w:rPr>
                      <w:rFonts w:ascii="Arial" w:hAnsi="Arial" w:cs="Arial"/>
                    </w:rPr>
                    <w:t>2.1</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rsidR="00AF57E6" w:rsidRPr="00805611" w:rsidRDefault="007B0E08" w:rsidP="003D4273">
                  <w:pPr>
                    <w:pStyle w:val="NoSpacing"/>
                    <w:spacing w:before="120" w:after="120"/>
                    <w:rPr>
                      <w:rFonts w:ascii="Arial" w:hAnsi="Arial" w:cs="Arial"/>
                    </w:rPr>
                  </w:pPr>
                  <w:r>
                    <w:rPr>
                      <w:rFonts w:ascii="Arial" w:hAnsi="Arial" w:cs="Arial"/>
                    </w:rPr>
                    <w:t>1.</w:t>
                  </w:r>
                  <w:r w:rsidR="003D4273">
                    <w:rPr>
                      <w:rFonts w:ascii="Arial" w:hAnsi="Arial" w:cs="Arial"/>
                    </w:rPr>
                    <w:t>2</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rsidR="00AF57E6" w:rsidRPr="00805611" w:rsidRDefault="007B0E08" w:rsidP="00B527D3">
                  <w:pPr>
                    <w:pStyle w:val="NoSpacing"/>
                    <w:spacing w:before="120" w:after="120"/>
                    <w:rPr>
                      <w:rFonts w:ascii="Arial" w:hAnsi="Arial" w:cs="Arial"/>
                    </w:rPr>
                  </w:pPr>
                  <w:r>
                    <w:rPr>
                      <w:rFonts w:ascii="Arial" w:hAnsi="Arial" w:cs="Arial"/>
                    </w:rPr>
                    <w:t>V 1.</w:t>
                  </w:r>
                  <w:r w:rsidR="00B527D3">
                    <w:rPr>
                      <w:rFonts w:ascii="Arial" w:hAnsi="Arial" w:cs="Arial"/>
                    </w:rPr>
                    <w:t>1</w:t>
                  </w:r>
                  <w:r>
                    <w:rPr>
                      <w:rFonts w:ascii="Arial" w:hAnsi="Arial" w:cs="Arial"/>
                    </w:rPr>
                    <w:t xml:space="preserve"> approved </w:t>
                  </w:r>
                  <w:r w:rsidR="00B527D3">
                    <w:rPr>
                      <w:rFonts w:ascii="Arial" w:hAnsi="Arial" w:cs="Arial"/>
                    </w:rPr>
                    <w:t>30</w:t>
                  </w:r>
                  <w:r>
                    <w:rPr>
                      <w:rFonts w:ascii="Arial" w:hAnsi="Arial" w:cs="Arial"/>
                    </w:rPr>
                    <w:t>.0</w:t>
                  </w:r>
                  <w:r w:rsidR="00B527D3">
                    <w:rPr>
                      <w:rFonts w:ascii="Arial" w:hAnsi="Arial" w:cs="Arial"/>
                    </w:rPr>
                    <w:t>1</w:t>
                  </w:r>
                  <w:r>
                    <w:rPr>
                      <w:rFonts w:ascii="Arial" w:hAnsi="Arial" w:cs="Arial"/>
                    </w:rPr>
                    <w:t>.1</w:t>
                  </w:r>
                  <w:r w:rsidR="00B527D3">
                    <w:rPr>
                      <w:rFonts w:ascii="Arial" w:hAnsi="Arial" w:cs="Arial"/>
                    </w:rPr>
                    <w:t>5</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rsidR="00AF57E6" w:rsidRPr="00805611" w:rsidRDefault="00AF57E6" w:rsidP="00EB2769">
                  <w:pPr>
                    <w:pStyle w:val="NoSpacing"/>
                    <w:spacing w:before="120" w:after="120"/>
                    <w:rPr>
                      <w:rFonts w:ascii="Arial" w:hAnsi="Arial" w:cs="Arial"/>
                    </w:rPr>
                  </w:pPr>
                  <w:r w:rsidRPr="00805611">
                    <w:rPr>
                      <w:rFonts w:ascii="Arial" w:hAnsi="Arial" w:cs="Arial"/>
                    </w:rPr>
                    <w:t>J</w:t>
                  </w:r>
                  <w:r w:rsidR="00677250">
                    <w:rPr>
                      <w:rFonts w:ascii="Arial" w:hAnsi="Arial" w:cs="Arial"/>
                    </w:rPr>
                    <w:t>uly</w:t>
                  </w:r>
                  <w:r w:rsidR="007B0E08">
                    <w:rPr>
                      <w:rFonts w:ascii="Arial" w:hAnsi="Arial" w:cs="Arial"/>
                    </w:rPr>
                    <w:t xml:space="preserve"> 201</w:t>
                  </w:r>
                  <w:r w:rsidR="005F4FC1">
                    <w:rPr>
                      <w:rFonts w:ascii="Arial" w:hAnsi="Arial" w:cs="Arial"/>
                    </w:rPr>
                    <w:t>9</w:t>
                  </w:r>
                </w:p>
              </w:tc>
            </w:tr>
          </w:tbl>
          <w:p w:rsidR="00ED4A53" w:rsidRPr="004C4556" w:rsidRDefault="00ED4A53" w:rsidP="00CA5861">
            <w:pPr>
              <w:pStyle w:val="NoSpacing"/>
              <w:ind w:right="-166"/>
              <w:jc w:val="center"/>
              <w:rPr>
                <w:rFonts w:ascii="Arial" w:hAnsi="Arial" w:cs="Arial"/>
                <w:b/>
                <w:bCs/>
              </w:rPr>
            </w:pPr>
          </w:p>
        </w:tc>
      </w:tr>
      <w:tr w:rsidR="00ED4A53"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rsidTr="00805611">
              <w:trPr>
                <w:trHeight w:val="397"/>
              </w:trPr>
              <w:tc>
                <w:tcPr>
                  <w:tcW w:w="5000" w:type="pct"/>
                  <w:gridSpan w:val="2"/>
                  <w:shd w:val="clear" w:color="auto" w:fill="E5B8B7" w:themeFill="accent2" w:themeFillTint="66"/>
                  <w:vAlign w:val="center"/>
                  <w:hideMark/>
                </w:tcPr>
                <w:p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805611" w:rsidRPr="00853D2A" w:rsidTr="00805611">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w:t>
                  </w:r>
                  <w:r w:rsidR="007B0E08">
                    <w:rPr>
                      <w:rFonts w:ascii="Arial" w:hAnsi="Arial" w:cs="Arial"/>
                    </w:rPr>
                    <w:t xml:space="preserve">de of </w:t>
                  </w:r>
                  <w:r>
                    <w:rPr>
                      <w:rFonts w:ascii="Arial" w:hAnsi="Arial" w:cs="Arial"/>
                    </w:rPr>
                    <w:t>P</w:t>
                  </w:r>
                  <w:r w:rsidR="007B0E08">
                    <w:rPr>
                      <w:rFonts w:ascii="Arial" w:hAnsi="Arial" w:cs="Arial"/>
                    </w:rPr>
                    <w:t>ractice</w:t>
                  </w:r>
                </w:p>
              </w:tc>
              <w:tc>
                <w:tcPr>
                  <w:tcW w:w="2629" w:type="pct"/>
                  <w:vAlign w:val="center"/>
                </w:tcPr>
                <w:p w:rsidR="00805611" w:rsidRPr="00805611" w:rsidRDefault="009029D5" w:rsidP="00805611">
                  <w:pPr>
                    <w:pStyle w:val="NoSpacing"/>
                    <w:spacing w:before="120" w:after="120"/>
                    <w:rPr>
                      <w:rFonts w:ascii="Arial" w:hAnsi="Arial" w:cs="Arial"/>
                    </w:rPr>
                  </w:pPr>
                  <w:r>
                    <w:rPr>
                      <w:rFonts w:ascii="Arial" w:hAnsi="Arial" w:cs="Arial"/>
                    </w:rPr>
                    <w:t>D</w:t>
                  </w:r>
                  <w:r w:rsidR="005F4FC1">
                    <w:rPr>
                      <w:rFonts w:ascii="Arial" w:hAnsi="Arial" w:cs="Arial"/>
                    </w:rPr>
                    <w:t>ean</w:t>
                  </w:r>
                  <w:r>
                    <w:rPr>
                      <w:rFonts w:ascii="Arial" w:hAnsi="Arial" w:cs="Arial"/>
                    </w:rPr>
                    <w:t xml:space="preserve"> of Education; Academic Registrar; Directors of Studies; </w:t>
                  </w:r>
                  <w:r w:rsidR="002168F4">
                    <w:rPr>
                      <w:rFonts w:ascii="Arial" w:hAnsi="Arial" w:cs="Arial"/>
                    </w:rPr>
                    <w:t xml:space="preserve">Staff in the LSTM Quality Unit; </w:t>
                  </w:r>
                  <w:r w:rsidRPr="009029D5">
                    <w:rPr>
                      <w:rFonts w:ascii="Arial" w:hAnsi="Arial" w:cs="Arial"/>
                    </w:rPr>
                    <w:t>Current and prospective external examiners of LSTM taught programmes</w:t>
                  </w:r>
                </w:p>
              </w:tc>
            </w:tr>
            <w:tr w:rsidR="00805611" w:rsidRPr="00853D2A" w:rsidTr="00805611">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7B0E08">
                    <w:rPr>
                      <w:rFonts w:ascii="Arial" w:hAnsi="Arial" w:cs="Arial"/>
                    </w:rPr>
                    <w:t>Code of Practice</w:t>
                  </w:r>
                </w:p>
              </w:tc>
              <w:tc>
                <w:tcPr>
                  <w:tcW w:w="2629" w:type="pct"/>
                  <w:vAlign w:val="center"/>
                </w:tcPr>
                <w:p w:rsidR="00805611" w:rsidRPr="009029D5" w:rsidRDefault="002168F4" w:rsidP="007B0E08">
                  <w:pPr>
                    <w:pStyle w:val="NoSpacing"/>
                    <w:spacing w:before="120" w:after="120"/>
                    <w:rPr>
                      <w:rFonts w:ascii="Arial" w:hAnsi="Arial" w:cs="Arial"/>
                    </w:rPr>
                  </w:pPr>
                  <w:r>
                    <w:rPr>
                      <w:rFonts w:ascii="Arial" w:hAnsi="Arial" w:cs="Arial"/>
                    </w:rPr>
                    <w:t xml:space="preserve">All </w:t>
                  </w:r>
                  <w:r w:rsidR="009029D5">
                    <w:rPr>
                      <w:rFonts w:ascii="Arial" w:hAnsi="Arial" w:cs="Arial"/>
                    </w:rPr>
                    <w:t xml:space="preserve">LSTM teaching administrative staff; </w:t>
                  </w:r>
                  <w:r>
                    <w:rPr>
                      <w:rFonts w:ascii="Arial" w:hAnsi="Arial" w:cs="Arial"/>
                    </w:rPr>
                    <w:t>S</w:t>
                  </w:r>
                  <w:r w:rsidR="007B0E08">
                    <w:rPr>
                      <w:rFonts w:ascii="Arial" w:hAnsi="Arial" w:cs="Arial"/>
                    </w:rPr>
                    <w:t>tudents</w:t>
                  </w:r>
                </w:p>
              </w:tc>
            </w:tr>
            <w:tr w:rsidR="00805611" w:rsidRPr="00853D2A" w:rsidTr="00805611">
              <w:trPr>
                <w:trHeight w:val="397"/>
              </w:trPr>
              <w:tc>
                <w:tcPr>
                  <w:tcW w:w="2371" w:type="pct"/>
                  <w:vAlign w:val="center"/>
                </w:tcPr>
                <w:p w:rsidR="00805611" w:rsidRPr="00805611" w:rsidRDefault="00805611" w:rsidP="007B0E08">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7B0E08">
                    <w:rPr>
                      <w:rFonts w:ascii="Arial" w:hAnsi="Arial" w:cs="Arial"/>
                    </w:rPr>
                    <w:t>Code of Practice</w:t>
                  </w:r>
                  <w:r w:rsidR="007B0E08" w:rsidRPr="00805611">
                    <w:rPr>
                      <w:rFonts w:ascii="Arial" w:hAnsi="Arial" w:cs="Arial"/>
                    </w:rPr>
                    <w:t xml:space="preserve"> </w:t>
                  </w:r>
                  <w:r w:rsidRPr="00805611">
                    <w:rPr>
                      <w:rFonts w:ascii="Arial" w:hAnsi="Arial" w:cs="Arial"/>
                    </w:rPr>
                    <w:t>exists</w:t>
                  </w:r>
                </w:p>
              </w:tc>
              <w:tc>
                <w:tcPr>
                  <w:tcW w:w="2629" w:type="pct"/>
                  <w:vAlign w:val="center"/>
                </w:tcPr>
                <w:p w:rsidR="00805611" w:rsidRPr="00805611" w:rsidRDefault="002168F4" w:rsidP="00805611">
                  <w:pPr>
                    <w:pStyle w:val="NoSpacing"/>
                    <w:spacing w:before="120" w:after="120"/>
                    <w:rPr>
                      <w:rFonts w:ascii="Arial" w:hAnsi="Arial" w:cs="Arial"/>
                    </w:rPr>
                  </w:pPr>
                  <w:r>
                    <w:rPr>
                      <w:rFonts w:ascii="Arial" w:hAnsi="Arial" w:cs="Arial"/>
                    </w:rPr>
                    <w:t>All LSTM academic staff</w:t>
                  </w:r>
                </w:p>
              </w:tc>
            </w:tr>
          </w:tbl>
          <w:p w:rsidR="00805611" w:rsidRPr="00853D2A" w:rsidRDefault="00805611" w:rsidP="00805611">
            <w:pPr>
              <w:pStyle w:val="NoSpacing"/>
              <w:rPr>
                <w:rFonts w:ascii="Arial" w:hAnsi="Arial" w:cs="Arial"/>
                <w:sz w:val="20"/>
              </w:rPr>
            </w:pPr>
          </w:p>
        </w:tc>
      </w:tr>
    </w:tbl>
    <w:p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rsidR="002F1D52" w:rsidRDefault="00876075" w:rsidP="00A85ACD">
      <w:pPr>
        <w:pStyle w:val="TOC1"/>
        <w:rPr>
          <w:rFonts w:asciiTheme="minorHAnsi" w:hAnsiTheme="minorHAnsi" w:cstheme="minorBidi"/>
          <w:sz w:val="22"/>
          <w:szCs w:val="22"/>
          <w:lang w:eastAsia="zh-CN"/>
        </w:rPr>
      </w:pPr>
      <w:r w:rsidRPr="00846FB2">
        <w:rPr>
          <w:color w:val="943634" w:themeColor="accent2" w:themeShade="BF"/>
        </w:rPr>
        <w:fldChar w:fldCharType="begin"/>
      </w:r>
      <w:r w:rsidRPr="00846FB2">
        <w:rPr>
          <w:color w:val="943634" w:themeColor="accent2" w:themeShade="BF"/>
        </w:rPr>
        <w:instrText xml:space="preserve"> TOC \p " " \h \z \t "CoP border heading,1" </w:instrText>
      </w:r>
      <w:r w:rsidRPr="00846FB2">
        <w:rPr>
          <w:color w:val="943634" w:themeColor="accent2" w:themeShade="BF"/>
        </w:rPr>
        <w:fldChar w:fldCharType="separate"/>
      </w:r>
      <w:hyperlink w:anchor="_Toc393891997" w:history="1">
        <w:r w:rsidR="002F1D52" w:rsidRPr="008A3133">
          <w:rPr>
            <w:rStyle w:val="Hyperlink"/>
          </w:rPr>
          <w:t>1</w:t>
        </w:r>
        <w:r w:rsidR="002F1D52">
          <w:rPr>
            <w:rFonts w:asciiTheme="minorHAnsi" w:hAnsiTheme="minorHAnsi" w:cstheme="minorBidi"/>
            <w:sz w:val="22"/>
            <w:szCs w:val="22"/>
            <w:lang w:eastAsia="zh-CN"/>
          </w:rPr>
          <w:tab/>
        </w:r>
        <w:r w:rsidR="002F1D52" w:rsidRPr="008A3133">
          <w:rPr>
            <w:rStyle w:val="Hyperlink"/>
          </w:rPr>
          <w:t>Introduction and Context</w:t>
        </w:r>
        <w:r w:rsidR="002F1D52">
          <w:rPr>
            <w:webHidden/>
          </w:rPr>
          <w:t xml:space="preserve"> </w:t>
        </w:r>
        <w:r w:rsidR="002F1D52">
          <w:rPr>
            <w:webHidden/>
          </w:rPr>
          <w:tab/>
        </w:r>
        <w:r w:rsidR="002F1D52">
          <w:rPr>
            <w:webHidden/>
          </w:rPr>
          <w:fldChar w:fldCharType="begin"/>
        </w:r>
        <w:r w:rsidR="002F1D52">
          <w:rPr>
            <w:webHidden/>
          </w:rPr>
          <w:instrText xml:space="preserve"> PAGEREF _Toc393891997 \h </w:instrText>
        </w:r>
        <w:r w:rsidR="002F1D52">
          <w:rPr>
            <w:webHidden/>
          </w:rPr>
        </w:r>
        <w:r w:rsidR="002F1D52">
          <w:rPr>
            <w:webHidden/>
          </w:rPr>
          <w:fldChar w:fldCharType="separate"/>
        </w:r>
        <w:r w:rsidR="00D94303">
          <w:rPr>
            <w:webHidden/>
          </w:rPr>
          <w:t>3</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1998" w:history="1">
        <w:r w:rsidR="002F1D52" w:rsidRPr="008A3133">
          <w:rPr>
            <w:rStyle w:val="Hyperlink"/>
          </w:rPr>
          <w:t>2</w:t>
        </w:r>
        <w:r w:rsidR="002F1D52">
          <w:rPr>
            <w:rFonts w:asciiTheme="minorHAnsi" w:hAnsiTheme="minorHAnsi" w:cstheme="minorBidi"/>
            <w:sz w:val="22"/>
            <w:szCs w:val="22"/>
            <w:lang w:eastAsia="zh-CN"/>
          </w:rPr>
          <w:tab/>
        </w:r>
        <w:r w:rsidR="002F1D52" w:rsidRPr="008A3133">
          <w:rPr>
            <w:rStyle w:val="Hyperlink"/>
          </w:rPr>
          <w:t>Scope</w:t>
        </w:r>
        <w:r w:rsidR="002F1D52">
          <w:rPr>
            <w:webHidden/>
          </w:rPr>
          <w:t xml:space="preserve"> </w:t>
        </w:r>
        <w:r w:rsidR="002F1D52">
          <w:rPr>
            <w:webHidden/>
          </w:rPr>
          <w:tab/>
        </w:r>
        <w:r w:rsidR="002F1D52">
          <w:rPr>
            <w:webHidden/>
          </w:rPr>
          <w:fldChar w:fldCharType="begin"/>
        </w:r>
        <w:r w:rsidR="002F1D52">
          <w:rPr>
            <w:webHidden/>
          </w:rPr>
          <w:instrText xml:space="preserve"> PAGEREF _Toc393891998 \h </w:instrText>
        </w:r>
        <w:r w:rsidR="002F1D52">
          <w:rPr>
            <w:webHidden/>
          </w:rPr>
        </w:r>
        <w:r w:rsidR="002F1D52">
          <w:rPr>
            <w:webHidden/>
          </w:rPr>
          <w:fldChar w:fldCharType="separate"/>
        </w:r>
        <w:r w:rsidR="00D94303">
          <w:rPr>
            <w:webHidden/>
          </w:rPr>
          <w:t>3</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1999" w:history="1">
        <w:r w:rsidR="002F1D52" w:rsidRPr="008A3133">
          <w:rPr>
            <w:rStyle w:val="Hyperlink"/>
          </w:rPr>
          <w:t>3</w:t>
        </w:r>
        <w:r w:rsidR="002F1D52">
          <w:rPr>
            <w:rFonts w:asciiTheme="minorHAnsi" w:hAnsiTheme="minorHAnsi" w:cstheme="minorBidi"/>
            <w:sz w:val="22"/>
            <w:szCs w:val="22"/>
            <w:lang w:eastAsia="zh-CN"/>
          </w:rPr>
          <w:tab/>
        </w:r>
        <w:r w:rsidR="002F1D52" w:rsidRPr="008A3133">
          <w:rPr>
            <w:rStyle w:val="Hyperlink"/>
          </w:rPr>
          <w:t>Roles and Responsibilities</w:t>
        </w:r>
        <w:r w:rsidR="002F1D52">
          <w:rPr>
            <w:webHidden/>
          </w:rPr>
          <w:t xml:space="preserve"> </w:t>
        </w:r>
        <w:r w:rsidR="002F1D52">
          <w:rPr>
            <w:webHidden/>
          </w:rPr>
          <w:tab/>
        </w:r>
        <w:r w:rsidR="002F1D52">
          <w:rPr>
            <w:webHidden/>
          </w:rPr>
          <w:fldChar w:fldCharType="begin"/>
        </w:r>
        <w:r w:rsidR="002F1D52">
          <w:rPr>
            <w:webHidden/>
          </w:rPr>
          <w:instrText xml:space="preserve"> PAGEREF _Toc393891999 \h </w:instrText>
        </w:r>
        <w:r w:rsidR="002F1D52">
          <w:rPr>
            <w:webHidden/>
          </w:rPr>
        </w:r>
        <w:r w:rsidR="002F1D52">
          <w:rPr>
            <w:webHidden/>
          </w:rPr>
          <w:fldChar w:fldCharType="separate"/>
        </w:r>
        <w:r w:rsidR="00D94303">
          <w:rPr>
            <w:webHidden/>
          </w:rPr>
          <w:t>3</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2000" w:history="1">
        <w:r w:rsidR="002F1D52" w:rsidRPr="008A3133">
          <w:rPr>
            <w:rStyle w:val="Hyperlink"/>
          </w:rPr>
          <w:t>4</w:t>
        </w:r>
        <w:r w:rsidR="002F1D52">
          <w:rPr>
            <w:rFonts w:asciiTheme="minorHAnsi" w:hAnsiTheme="minorHAnsi" w:cstheme="minorBidi"/>
            <w:sz w:val="22"/>
            <w:szCs w:val="22"/>
            <w:lang w:eastAsia="zh-CN"/>
          </w:rPr>
          <w:tab/>
        </w:r>
        <w:r w:rsidR="002F1D52" w:rsidRPr="008A3133">
          <w:rPr>
            <w:rStyle w:val="Hyperlink"/>
          </w:rPr>
          <w:t>Selection of External Examiners</w:t>
        </w:r>
        <w:r w:rsidR="002F1D52">
          <w:rPr>
            <w:webHidden/>
          </w:rPr>
          <w:t xml:space="preserve"> </w:t>
        </w:r>
        <w:r w:rsidR="002F1D52">
          <w:rPr>
            <w:webHidden/>
          </w:rPr>
          <w:tab/>
        </w:r>
        <w:r w:rsidR="002F1D52">
          <w:rPr>
            <w:webHidden/>
          </w:rPr>
          <w:fldChar w:fldCharType="begin"/>
        </w:r>
        <w:r w:rsidR="002F1D52">
          <w:rPr>
            <w:webHidden/>
          </w:rPr>
          <w:instrText xml:space="preserve"> PAGEREF _Toc393892000 \h </w:instrText>
        </w:r>
        <w:r w:rsidR="002F1D52">
          <w:rPr>
            <w:webHidden/>
          </w:rPr>
        </w:r>
        <w:r w:rsidR="002F1D52">
          <w:rPr>
            <w:webHidden/>
          </w:rPr>
          <w:fldChar w:fldCharType="separate"/>
        </w:r>
        <w:r w:rsidR="00D94303">
          <w:rPr>
            <w:webHidden/>
          </w:rPr>
          <w:t>4</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2001" w:history="1">
        <w:r w:rsidR="002F1D52" w:rsidRPr="008A3133">
          <w:rPr>
            <w:rStyle w:val="Hyperlink"/>
          </w:rPr>
          <w:t>5</w:t>
        </w:r>
        <w:r w:rsidR="002F1D52">
          <w:rPr>
            <w:rFonts w:asciiTheme="minorHAnsi" w:hAnsiTheme="minorHAnsi" w:cstheme="minorBidi"/>
            <w:sz w:val="22"/>
            <w:szCs w:val="22"/>
            <w:lang w:eastAsia="zh-CN"/>
          </w:rPr>
          <w:tab/>
        </w:r>
        <w:r w:rsidR="002F1D52" w:rsidRPr="008A3133">
          <w:rPr>
            <w:rStyle w:val="Hyperlink"/>
          </w:rPr>
          <w:t>Appointment of External Examiners</w:t>
        </w:r>
        <w:r w:rsidR="002F1D52">
          <w:rPr>
            <w:webHidden/>
          </w:rPr>
          <w:t xml:space="preserve"> </w:t>
        </w:r>
        <w:r w:rsidR="002F1D52">
          <w:rPr>
            <w:webHidden/>
          </w:rPr>
          <w:tab/>
        </w:r>
        <w:r w:rsidR="002F1D52">
          <w:rPr>
            <w:webHidden/>
          </w:rPr>
          <w:fldChar w:fldCharType="begin"/>
        </w:r>
        <w:r w:rsidR="002F1D52">
          <w:rPr>
            <w:webHidden/>
          </w:rPr>
          <w:instrText xml:space="preserve"> PAGEREF _Toc393892001 \h </w:instrText>
        </w:r>
        <w:r w:rsidR="002F1D52">
          <w:rPr>
            <w:webHidden/>
          </w:rPr>
        </w:r>
        <w:r w:rsidR="002F1D52">
          <w:rPr>
            <w:webHidden/>
          </w:rPr>
          <w:fldChar w:fldCharType="separate"/>
        </w:r>
        <w:r w:rsidR="00D94303">
          <w:rPr>
            <w:webHidden/>
          </w:rPr>
          <w:t>6</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2002" w:history="1">
        <w:r w:rsidR="002F1D52" w:rsidRPr="008A3133">
          <w:rPr>
            <w:rStyle w:val="Hyperlink"/>
          </w:rPr>
          <w:t>6</w:t>
        </w:r>
        <w:r w:rsidR="002F1D52">
          <w:rPr>
            <w:rFonts w:asciiTheme="minorHAnsi" w:hAnsiTheme="minorHAnsi" w:cstheme="minorBidi"/>
            <w:sz w:val="22"/>
            <w:szCs w:val="22"/>
            <w:lang w:eastAsia="zh-CN"/>
          </w:rPr>
          <w:tab/>
        </w:r>
        <w:r w:rsidR="002F1D52" w:rsidRPr="008A3133">
          <w:rPr>
            <w:rStyle w:val="Hyperlink"/>
          </w:rPr>
          <w:t>Participation of External Examiners in Assessment Procedures</w:t>
        </w:r>
        <w:r w:rsidR="002F1D52">
          <w:rPr>
            <w:webHidden/>
          </w:rPr>
          <w:t xml:space="preserve"> </w:t>
        </w:r>
        <w:r w:rsidR="002F1D52">
          <w:rPr>
            <w:webHidden/>
          </w:rPr>
          <w:tab/>
        </w:r>
        <w:r w:rsidR="002F1D52">
          <w:rPr>
            <w:webHidden/>
          </w:rPr>
          <w:fldChar w:fldCharType="begin"/>
        </w:r>
        <w:r w:rsidR="002F1D52">
          <w:rPr>
            <w:webHidden/>
          </w:rPr>
          <w:instrText xml:space="preserve"> PAGEREF _Toc393892002 \h </w:instrText>
        </w:r>
        <w:r w:rsidR="002F1D52">
          <w:rPr>
            <w:webHidden/>
          </w:rPr>
        </w:r>
        <w:r w:rsidR="002F1D52">
          <w:rPr>
            <w:webHidden/>
          </w:rPr>
          <w:fldChar w:fldCharType="separate"/>
        </w:r>
        <w:r w:rsidR="00D94303">
          <w:rPr>
            <w:webHidden/>
          </w:rPr>
          <w:t>7</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2003" w:history="1">
        <w:r w:rsidR="002F1D52" w:rsidRPr="008A3133">
          <w:rPr>
            <w:rStyle w:val="Hyperlink"/>
          </w:rPr>
          <w:t>7</w:t>
        </w:r>
        <w:r w:rsidR="002F1D52">
          <w:rPr>
            <w:rFonts w:asciiTheme="minorHAnsi" w:hAnsiTheme="minorHAnsi" w:cstheme="minorBidi"/>
            <w:sz w:val="22"/>
            <w:szCs w:val="22"/>
            <w:lang w:eastAsia="zh-CN"/>
          </w:rPr>
          <w:tab/>
        </w:r>
        <w:r w:rsidR="002F1D52" w:rsidRPr="008A3133">
          <w:rPr>
            <w:rStyle w:val="Hyperlink"/>
          </w:rPr>
          <w:t>Reports and Feedback</w:t>
        </w:r>
        <w:r w:rsidR="002F1D52">
          <w:rPr>
            <w:webHidden/>
          </w:rPr>
          <w:t xml:space="preserve"> </w:t>
        </w:r>
        <w:r w:rsidR="002F1D52">
          <w:rPr>
            <w:webHidden/>
          </w:rPr>
          <w:tab/>
        </w:r>
        <w:r w:rsidR="002F1D52">
          <w:rPr>
            <w:webHidden/>
          </w:rPr>
          <w:fldChar w:fldCharType="begin"/>
        </w:r>
        <w:r w:rsidR="002F1D52">
          <w:rPr>
            <w:webHidden/>
          </w:rPr>
          <w:instrText xml:space="preserve"> PAGEREF _Toc393892003 \h </w:instrText>
        </w:r>
        <w:r w:rsidR="002F1D52">
          <w:rPr>
            <w:webHidden/>
          </w:rPr>
        </w:r>
        <w:r w:rsidR="002F1D52">
          <w:rPr>
            <w:webHidden/>
          </w:rPr>
          <w:fldChar w:fldCharType="separate"/>
        </w:r>
        <w:r w:rsidR="00D94303">
          <w:rPr>
            <w:webHidden/>
          </w:rPr>
          <w:t>8</w:t>
        </w:r>
        <w:r w:rsidR="002F1D52">
          <w:rPr>
            <w:webHidden/>
          </w:rPr>
          <w:fldChar w:fldCharType="end"/>
        </w:r>
      </w:hyperlink>
    </w:p>
    <w:p w:rsidR="002F1D52" w:rsidRDefault="00FD2620" w:rsidP="00A85ACD">
      <w:pPr>
        <w:pStyle w:val="TOC1"/>
        <w:rPr>
          <w:rFonts w:asciiTheme="minorHAnsi" w:hAnsiTheme="minorHAnsi" w:cstheme="minorBidi"/>
          <w:sz w:val="22"/>
          <w:szCs w:val="22"/>
          <w:lang w:eastAsia="zh-CN"/>
        </w:rPr>
      </w:pPr>
      <w:hyperlink w:anchor="_Toc393892004" w:history="1">
        <w:r w:rsidR="002F1D52" w:rsidRPr="008A3133">
          <w:rPr>
            <w:rStyle w:val="Hyperlink"/>
          </w:rPr>
          <w:t>8</w:t>
        </w:r>
        <w:r w:rsidR="002F1D52">
          <w:rPr>
            <w:rFonts w:asciiTheme="minorHAnsi" w:hAnsiTheme="minorHAnsi" w:cstheme="minorBidi"/>
            <w:sz w:val="22"/>
            <w:szCs w:val="22"/>
            <w:lang w:eastAsia="zh-CN"/>
          </w:rPr>
          <w:tab/>
        </w:r>
        <w:r w:rsidR="002F1D52" w:rsidRPr="008A3133">
          <w:rPr>
            <w:rStyle w:val="Hyperlink"/>
          </w:rPr>
          <w:t>External Examining by LSTM Staff</w:t>
        </w:r>
        <w:r w:rsidR="002F1D52">
          <w:rPr>
            <w:webHidden/>
          </w:rPr>
          <w:t xml:space="preserve"> </w:t>
        </w:r>
        <w:r w:rsidR="002F1D52">
          <w:rPr>
            <w:webHidden/>
          </w:rPr>
          <w:tab/>
        </w:r>
        <w:r w:rsidR="002F1D52">
          <w:rPr>
            <w:webHidden/>
          </w:rPr>
          <w:fldChar w:fldCharType="begin"/>
        </w:r>
        <w:r w:rsidR="002F1D52">
          <w:rPr>
            <w:webHidden/>
          </w:rPr>
          <w:instrText xml:space="preserve"> PAGEREF _Toc393892004 \h </w:instrText>
        </w:r>
        <w:r w:rsidR="002F1D52">
          <w:rPr>
            <w:webHidden/>
          </w:rPr>
        </w:r>
        <w:r w:rsidR="002F1D52">
          <w:rPr>
            <w:webHidden/>
          </w:rPr>
          <w:fldChar w:fldCharType="separate"/>
        </w:r>
        <w:r w:rsidR="00D94303">
          <w:rPr>
            <w:webHidden/>
          </w:rPr>
          <w:t>8</w:t>
        </w:r>
        <w:r w:rsidR="002F1D52">
          <w:rPr>
            <w:webHidden/>
          </w:rPr>
          <w:fldChar w:fldCharType="end"/>
        </w:r>
      </w:hyperlink>
    </w:p>
    <w:p w:rsidR="00876075" w:rsidRPr="00846FB2" w:rsidRDefault="00876075" w:rsidP="00846FB2">
      <w:pPr>
        <w:spacing w:before="240" w:after="240"/>
        <w:rPr>
          <w:color w:val="943634" w:themeColor="accent2" w:themeShade="BF"/>
          <w:sz w:val="24"/>
          <w:szCs w:val="24"/>
        </w:rPr>
      </w:pPr>
      <w:r w:rsidRPr="00846FB2">
        <w:rPr>
          <w:rFonts w:ascii="Arial" w:hAnsi="Arial" w:cs="Arial"/>
          <w:color w:val="943634" w:themeColor="accent2" w:themeShade="BF"/>
          <w:sz w:val="28"/>
          <w:szCs w:val="28"/>
        </w:rPr>
        <w:fldChar w:fldCharType="end"/>
      </w:r>
    </w:p>
    <w:p w:rsidR="00876075" w:rsidRDefault="00876075">
      <w:pPr>
        <w:rPr>
          <w:rFonts w:ascii="Arial" w:hAnsi="Arial" w:cs="Arial"/>
          <w:b/>
          <w:bCs/>
          <w:color w:val="943634" w:themeColor="accent2" w:themeShade="BF"/>
          <w:sz w:val="24"/>
          <w:szCs w:val="24"/>
        </w:rPr>
      </w:pPr>
      <w:r>
        <w:rPr>
          <w:color w:val="943634" w:themeColor="accent2" w:themeShade="BF"/>
          <w:sz w:val="24"/>
          <w:szCs w:val="24"/>
        </w:rPr>
        <w:br w:type="page"/>
      </w:r>
    </w:p>
    <w:p w:rsidR="00ED4A53" w:rsidRDefault="00981629" w:rsidP="00846FB2">
      <w:pPr>
        <w:pStyle w:val="CoPborderheading"/>
        <w:rPr>
          <w:rFonts w:hint="eastAsia"/>
        </w:rPr>
      </w:pPr>
      <w:bookmarkStart w:id="0" w:name="_Toc342395970"/>
      <w:bookmarkStart w:id="1" w:name="_Toc393891997"/>
      <w:r w:rsidRPr="00D23717">
        <w:lastRenderedPageBreak/>
        <w:t xml:space="preserve">Introduction </w:t>
      </w:r>
      <w:r w:rsidR="00E92B0F" w:rsidRPr="00D23717">
        <w:t>and Context</w:t>
      </w:r>
      <w:bookmarkEnd w:id="0"/>
      <w:bookmarkEnd w:id="1"/>
      <w:r w:rsidR="00ED4A53" w:rsidRPr="00D23717">
        <w:t xml:space="preserve"> </w:t>
      </w:r>
    </w:p>
    <w:p w:rsidR="007864B8" w:rsidRDefault="007864B8" w:rsidP="007864B8">
      <w:pPr>
        <w:pStyle w:val="CoPNumberlevel1"/>
      </w:pPr>
      <w:r>
        <w:t>The external examining system at the L</w:t>
      </w:r>
      <w:r w:rsidR="001C361E">
        <w:t xml:space="preserve">iverpool School of Tropical Medicine (LSTM) </w:t>
      </w:r>
      <w:r>
        <w:t xml:space="preserve">ensures that degrees and other academic qualifications awarded in similar subjects or disciplines are comparable with those in different universities and institutions of higher education in the United Kingdom. It </w:t>
      </w:r>
      <w:r w:rsidR="00D43202">
        <w:t xml:space="preserve">serves as a safeguard whereby LSTM can have confidence </w:t>
      </w:r>
      <w:r>
        <w:t xml:space="preserve">that </w:t>
      </w:r>
      <w:r w:rsidR="00D43202">
        <w:t xml:space="preserve">its </w:t>
      </w:r>
      <w:r>
        <w:t xml:space="preserve">system of assessment is fair and is fairly operated in the determination and, where appropriate, classification of awards and that the quality of education and training </w:t>
      </w:r>
      <w:r w:rsidR="00D43202">
        <w:t xml:space="preserve">it provides </w:t>
      </w:r>
      <w:r>
        <w:t>gives students a fair and reasonable opportunity to complete their p</w:t>
      </w:r>
      <w:r w:rsidR="008010CA">
        <w:t>rogramme of study successfully.</w:t>
      </w:r>
    </w:p>
    <w:p w:rsidR="007864B8" w:rsidRDefault="007864B8" w:rsidP="007864B8">
      <w:pPr>
        <w:pStyle w:val="CoPNumberlevel1"/>
      </w:pPr>
      <w:r>
        <w:t>This Code of Practice is set within the context of the requirements of the UK Quality Code for Higher Education Chapter B7</w:t>
      </w:r>
      <w:r w:rsidR="007B0E08">
        <w:t xml:space="preserve"> (</w:t>
      </w:r>
      <w:r>
        <w:t>External examining</w:t>
      </w:r>
      <w:r w:rsidR="007B0E08">
        <w:t xml:space="preserve">, </w:t>
      </w:r>
      <w:r>
        <w:t>October 2011)</w:t>
      </w:r>
      <w:r w:rsidR="006372F3">
        <w:t xml:space="preserve"> and Part A: Expectation A3.4</w:t>
      </w:r>
      <w:r w:rsidR="007B0E08">
        <w:t xml:space="preserve"> (</w:t>
      </w:r>
      <w:r w:rsidR="006372F3">
        <w:t>Externality</w:t>
      </w:r>
      <w:r w:rsidR="007B0E08">
        <w:t>)</w:t>
      </w:r>
      <w:r w:rsidR="009672AE">
        <w:t>.</w:t>
      </w:r>
    </w:p>
    <w:p w:rsidR="007864B8" w:rsidRDefault="00D5711A" w:rsidP="00846FB2">
      <w:pPr>
        <w:pStyle w:val="CoPNumberlevel1"/>
      </w:pPr>
      <w:r>
        <w:t>Related documents</w:t>
      </w:r>
      <w:r w:rsidR="007864B8">
        <w:t>:</w:t>
      </w:r>
    </w:p>
    <w:p w:rsidR="002C101A" w:rsidRDefault="002C101A" w:rsidP="007B0E08">
      <w:pPr>
        <w:pStyle w:val="CoPbullet"/>
      </w:pPr>
      <w:r>
        <w:t xml:space="preserve">Code of Practice on Monitoring Student Progress and the Conduct of Boards of Examiners </w:t>
      </w:r>
    </w:p>
    <w:p w:rsidR="007864B8" w:rsidRPr="00D5711A" w:rsidRDefault="002C101A" w:rsidP="007B0E08">
      <w:pPr>
        <w:pStyle w:val="CoPbullet"/>
      </w:pPr>
      <w:r>
        <w:t>Procedure for Responding to the Outcomes of the External Examining P</w:t>
      </w:r>
      <w:r w:rsidR="002168F4" w:rsidRPr="002168F4">
        <w:t>rocess</w:t>
      </w:r>
      <w:r>
        <w:t xml:space="preserve"> for Taught P</w:t>
      </w:r>
      <w:r w:rsidR="002168F4">
        <w:t>rogrammes</w:t>
      </w:r>
    </w:p>
    <w:p w:rsidR="00164DC8" w:rsidRPr="00D5711A" w:rsidRDefault="009672AE" w:rsidP="007B0E08">
      <w:pPr>
        <w:pStyle w:val="CoPbullet"/>
      </w:pPr>
      <w:r w:rsidRPr="00D5711A">
        <w:t>Procedur</w:t>
      </w:r>
      <w:r w:rsidR="008A267E">
        <w:t>e for Verifying Examination Q</w:t>
      </w:r>
      <w:r w:rsidRPr="00D5711A">
        <w:t>uestions</w:t>
      </w:r>
    </w:p>
    <w:p w:rsidR="00981629" w:rsidRPr="00A07F52" w:rsidRDefault="00981629" w:rsidP="00846FB2">
      <w:pPr>
        <w:pStyle w:val="CoPborderheading"/>
        <w:rPr>
          <w:rFonts w:hint="eastAsia"/>
        </w:rPr>
      </w:pPr>
      <w:bookmarkStart w:id="2" w:name="_Toc342395969"/>
      <w:bookmarkStart w:id="3" w:name="_Toc393891998"/>
      <w:r w:rsidRPr="002168F4">
        <w:t>S</w:t>
      </w:r>
      <w:r w:rsidRPr="00A07F52">
        <w:t>cope</w:t>
      </w:r>
      <w:bookmarkEnd w:id="2"/>
      <w:bookmarkEnd w:id="3"/>
      <w:r w:rsidRPr="00A07F52">
        <w:t xml:space="preserve"> </w:t>
      </w:r>
    </w:p>
    <w:p w:rsidR="007864B8" w:rsidRDefault="007864B8" w:rsidP="007B0E08">
      <w:pPr>
        <w:pStyle w:val="CoPNumberlevel1"/>
        <w:spacing w:after="240"/>
      </w:pPr>
      <w:r>
        <w:t xml:space="preserve">This Code of Practice </w:t>
      </w:r>
      <w:r w:rsidRPr="008235C0">
        <w:t>applies</w:t>
      </w:r>
      <w:r>
        <w:t xml:space="preserve"> to all </w:t>
      </w:r>
      <w:r w:rsidR="007B0E08">
        <w:t xml:space="preserve">LSTM </w:t>
      </w:r>
      <w:r>
        <w:t>taught programmes</w:t>
      </w:r>
      <w:r w:rsidR="007B0E08">
        <w:t>.</w:t>
      </w:r>
      <w:r>
        <w:t xml:space="preserve"> </w:t>
      </w:r>
      <w:r w:rsidR="007B0E08">
        <w:t xml:space="preserve"> </w:t>
      </w:r>
    </w:p>
    <w:p w:rsidR="00ED4A53" w:rsidRPr="00A07F52" w:rsidRDefault="00ED4A53" w:rsidP="00846FB2">
      <w:pPr>
        <w:pStyle w:val="CoPborderheading"/>
        <w:rPr>
          <w:rFonts w:hint="eastAsia"/>
        </w:rPr>
      </w:pPr>
      <w:bookmarkStart w:id="4" w:name="_Toc342395973"/>
      <w:bookmarkStart w:id="5" w:name="_Toc393891999"/>
      <w:r w:rsidRPr="00A07F52">
        <w:t>Roles and Responsibilities</w:t>
      </w:r>
      <w:bookmarkEnd w:id="4"/>
      <w:bookmarkEnd w:id="5"/>
    </w:p>
    <w:p w:rsidR="007864B8" w:rsidRDefault="0028170C" w:rsidP="007864B8">
      <w:pPr>
        <w:pStyle w:val="CoPNumberlevel1"/>
      </w:pPr>
      <w:r w:rsidRPr="004565AA">
        <w:t xml:space="preserve">External examiners </w:t>
      </w:r>
      <w:r>
        <w:t>will</w:t>
      </w:r>
      <w:r w:rsidR="008A267E">
        <w:t xml:space="preserve">:  </w:t>
      </w:r>
    </w:p>
    <w:p w:rsidR="007864B8" w:rsidRPr="007864B8" w:rsidRDefault="008A267E" w:rsidP="007864B8">
      <w:pPr>
        <w:pStyle w:val="CoPNumberlevel2"/>
      </w:pPr>
      <w:r>
        <w:t>A</w:t>
      </w:r>
      <w:r w:rsidR="007864B8" w:rsidRPr="00F57D65">
        <w:t xml:space="preserve">ssist </w:t>
      </w:r>
      <w:r w:rsidR="007864B8" w:rsidRPr="007864B8">
        <w:t>LSTM in monitor</w:t>
      </w:r>
      <w:r w:rsidR="009423E3">
        <w:t>ing the standards of its awards</w:t>
      </w:r>
    </w:p>
    <w:p w:rsidR="007864B8" w:rsidRPr="007864B8" w:rsidRDefault="008A267E" w:rsidP="007864B8">
      <w:pPr>
        <w:pStyle w:val="CoPNumberlevel2"/>
      </w:pPr>
      <w:r>
        <w:t>V</w:t>
      </w:r>
      <w:r w:rsidR="007864B8" w:rsidRPr="007864B8">
        <w:t>erify that those standards are appropriate for the award</w:t>
      </w:r>
      <w:r w:rsidR="009423E3">
        <w:t xml:space="preserve">, </w:t>
      </w:r>
      <w:r w:rsidR="007864B8" w:rsidRPr="007864B8">
        <w:t>including reference, wh</w:t>
      </w:r>
      <w:r w:rsidR="009423E3">
        <w:t xml:space="preserve">ere appropriate, to </w:t>
      </w:r>
      <w:r w:rsidR="007864B8" w:rsidRPr="007864B8">
        <w:t>national qualifications fra</w:t>
      </w:r>
      <w:r w:rsidR="009423E3">
        <w:t>meworks and external benchmarks</w:t>
      </w:r>
    </w:p>
    <w:p w:rsidR="007864B8" w:rsidRPr="007864B8" w:rsidRDefault="008A267E" w:rsidP="007864B8">
      <w:pPr>
        <w:pStyle w:val="CoPNumberlevel2"/>
      </w:pPr>
      <w:r>
        <w:t>E</w:t>
      </w:r>
      <w:r w:rsidR="007864B8" w:rsidRPr="007864B8">
        <w:t xml:space="preserve">nsure that awards made are comparable in standard with those for similar subjects and awards in other UK universities and that the performance of students </w:t>
      </w:r>
      <w:r w:rsidR="009423E3">
        <w:t>is consistent with those awards</w:t>
      </w:r>
    </w:p>
    <w:p w:rsidR="007864B8" w:rsidRPr="007864B8" w:rsidRDefault="008A267E" w:rsidP="007864B8">
      <w:pPr>
        <w:pStyle w:val="CoPNumberlevel2"/>
      </w:pPr>
      <w:r>
        <w:t>E</w:t>
      </w:r>
      <w:r w:rsidR="0028170C">
        <w:t xml:space="preserve">nsure that </w:t>
      </w:r>
      <w:r w:rsidR="007864B8" w:rsidRPr="007864B8">
        <w:t xml:space="preserve">assessment processes are appropriate, rigorous, fair and fairly operated and are in line </w:t>
      </w:r>
      <w:r w:rsidR="0028170C">
        <w:t xml:space="preserve">with LSTM </w:t>
      </w:r>
      <w:r w:rsidR="007864B8" w:rsidRPr="007864B8">
        <w:t>regulations and</w:t>
      </w:r>
      <w:r w:rsidR="009423E3">
        <w:t xml:space="preserve"> published programme guidelines</w:t>
      </w:r>
    </w:p>
    <w:p w:rsidR="007864B8" w:rsidRPr="007864B8" w:rsidRDefault="008A267E" w:rsidP="007864B8">
      <w:pPr>
        <w:pStyle w:val="CoPNumberlevel2"/>
      </w:pPr>
      <w:r>
        <w:lastRenderedPageBreak/>
        <w:t>E</w:t>
      </w:r>
      <w:r w:rsidR="007864B8" w:rsidRPr="007864B8">
        <w:t>nsure</w:t>
      </w:r>
      <w:r w:rsidR="0028170C">
        <w:t xml:space="preserve"> </w:t>
      </w:r>
      <w:r w:rsidR="007864B8" w:rsidRPr="007864B8">
        <w:t>that the accreditation requirements of any profess</w:t>
      </w:r>
      <w:r w:rsidR="009423E3">
        <w:t>ional or statutory body are met</w:t>
      </w:r>
    </w:p>
    <w:p w:rsidR="007864B8" w:rsidRDefault="008A267E" w:rsidP="007864B8">
      <w:pPr>
        <w:pStyle w:val="CoPNumberlevel2"/>
      </w:pPr>
      <w:r>
        <w:t>H</w:t>
      </w:r>
      <w:r w:rsidR="009423E3">
        <w:t xml:space="preserve">ighlight good </w:t>
      </w:r>
      <w:r w:rsidR="007864B8" w:rsidRPr="007864B8">
        <w:t xml:space="preserve">practice </w:t>
      </w:r>
      <w:r w:rsidR="009423E3">
        <w:t xml:space="preserve">and provide recommendations for </w:t>
      </w:r>
      <w:r w:rsidR="007864B8" w:rsidRPr="00F57D65">
        <w:t>the quality of learning opp</w:t>
      </w:r>
      <w:r w:rsidR="009423E3">
        <w:t>ortunities provided to students</w:t>
      </w:r>
    </w:p>
    <w:p w:rsidR="009029D5" w:rsidRDefault="009029D5" w:rsidP="009029D5">
      <w:pPr>
        <w:pStyle w:val="CoPNumberlevel1"/>
      </w:pPr>
      <w:r>
        <w:t>The D</w:t>
      </w:r>
      <w:r w:rsidR="005F4FC1">
        <w:t>ean</w:t>
      </w:r>
      <w:r>
        <w:t xml:space="preserve"> of Education </w:t>
      </w:r>
      <w:r w:rsidR="007B0E08">
        <w:t>will:</w:t>
      </w:r>
    </w:p>
    <w:p w:rsidR="009029D5" w:rsidRDefault="009029D5" w:rsidP="009029D5">
      <w:pPr>
        <w:pStyle w:val="CoPNumberlevel2"/>
      </w:pPr>
      <w:r>
        <w:t>Approv</w:t>
      </w:r>
      <w:r w:rsidR="008A267E">
        <w:t xml:space="preserve">e </w:t>
      </w:r>
      <w:r>
        <w:t xml:space="preserve">the appointments of external examiners upon the recommendation of the </w:t>
      </w:r>
      <w:r w:rsidRPr="004565AA">
        <w:t>Quality Management Committee</w:t>
      </w:r>
    </w:p>
    <w:p w:rsidR="009029D5" w:rsidRDefault="009029D5" w:rsidP="009029D5">
      <w:pPr>
        <w:pStyle w:val="CoPNumberlevel2"/>
      </w:pPr>
      <w:r>
        <w:t>Terminat</w:t>
      </w:r>
      <w:r w:rsidR="008A267E">
        <w:t xml:space="preserve">e </w:t>
      </w:r>
      <w:r>
        <w:t>the appointment of an external examiner whose performance in the role is felt to be unsatisfactory</w:t>
      </w:r>
    </w:p>
    <w:p w:rsidR="009029D5" w:rsidRDefault="009029D5" w:rsidP="009029D5">
      <w:pPr>
        <w:pStyle w:val="CoPNumberlevel1"/>
      </w:pPr>
      <w:r>
        <w:t xml:space="preserve">The Academic Registrar </w:t>
      </w:r>
      <w:r w:rsidR="008A267E">
        <w:t xml:space="preserve">will: </w:t>
      </w:r>
    </w:p>
    <w:p w:rsidR="009029D5" w:rsidRDefault="009029D5" w:rsidP="009029D5">
      <w:pPr>
        <w:pStyle w:val="CoPNumberlevel2"/>
      </w:pPr>
      <w:r>
        <w:t>Ensur</w:t>
      </w:r>
      <w:r w:rsidR="008A267E">
        <w:t xml:space="preserve">e </w:t>
      </w:r>
      <w:r>
        <w:t>that the names, positions and institutions of external examiners are provided to students</w:t>
      </w:r>
    </w:p>
    <w:p w:rsidR="009029D5" w:rsidRPr="00F31FF2" w:rsidRDefault="00D5711A" w:rsidP="009029D5">
      <w:pPr>
        <w:pStyle w:val="CoPNumberlevel2"/>
      </w:pPr>
      <w:r>
        <w:t>Prepar</w:t>
      </w:r>
      <w:r w:rsidR="008A267E">
        <w:t xml:space="preserve">e </w:t>
      </w:r>
      <w:r w:rsidR="009029D5">
        <w:t>draft response</w:t>
      </w:r>
      <w:r>
        <w:t>s</w:t>
      </w:r>
      <w:r w:rsidR="009029D5">
        <w:t xml:space="preserve"> to the report</w:t>
      </w:r>
      <w:r>
        <w:t>s</w:t>
      </w:r>
      <w:r w:rsidR="009029D5">
        <w:t xml:space="preserve"> of external examiner</w:t>
      </w:r>
      <w:r>
        <w:t>s</w:t>
      </w:r>
      <w:r w:rsidR="009029D5">
        <w:t xml:space="preserve"> in consultation with the</w:t>
      </w:r>
      <w:r w:rsidR="008010CA">
        <w:t xml:space="preserve"> relevant Director</w:t>
      </w:r>
      <w:r>
        <w:t>s</w:t>
      </w:r>
      <w:r w:rsidR="008010CA">
        <w:t xml:space="preserve"> of Studies</w:t>
      </w:r>
    </w:p>
    <w:p w:rsidR="00A40FD7" w:rsidRDefault="009A02C5" w:rsidP="0067544D">
      <w:pPr>
        <w:pStyle w:val="CoPNumberlevel1"/>
      </w:pPr>
      <w:r>
        <w:t>The Director of Studies</w:t>
      </w:r>
      <w:r w:rsidR="00A40FD7">
        <w:t xml:space="preserve"> </w:t>
      </w:r>
      <w:r w:rsidR="008A267E">
        <w:t>will</w:t>
      </w:r>
      <w:r w:rsidR="00A40FD7">
        <w:t>:</w:t>
      </w:r>
    </w:p>
    <w:p w:rsidR="00A40FD7" w:rsidRDefault="00A40FD7" w:rsidP="00A40FD7">
      <w:pPr>
        <w:pStyle w:val="CoPNumberlevel2"/>
      </w:pPr>
      <w:r>
        <w:t>N</w:t>
      </w:r>
      <w:r w:rsidR="009A02C5">
        <w:t>ominat</w:t>
      </w:r>
      <w:r w:rsidR="008A267E">
        <w:t xml:space="preserve">e </w:t>
      </w:r>
      <w:r w:rsidR="009A02C5">
        <w:t>a proposed external examiner for a programme</w:t>
      </w:r>
      <w:r>
        <w:t xml:space="preserve"> in consultation with the Board of Studies</w:t>
      </w:r>
    </w:p>
    <w:p w:rsidR="0067544D" w:rsidRDefault="00A40FD7" w:rsidP="00A40FD7">
      <w:pPr>
        <w:pStyle w:val="CoPNumberlevel2"/>
      </w:pPr>
      <w:r>
        <w:t>Arrang</w:t>
      </w:r>
      <w:r w:rsidR="008A267E">
        <w:t xml:space="preserve">e </w:t>
      </w:r>
      <w:r w:rsidR="0067544D">
        <w:t>for the external examiner to meet informally with students on the programme to provide feedback to the Board of Studies on the students’ percepti</w:t>
      </w:r>
      <w:r>
        <w:t>on of their learning experience</w:t>
      </w:r>
    </w:p>
    <w:p w:rsidR="009029D5" w:rsidRDefault="009029D5" w:rsidP="00A40FD7">
      <w:pPr>
        <w:pStyle w:val="CoPNumberlevel2"/>
      </w:pPr>
      <w:r>
        <w:t>Ensur</w:t>
      </w:r>
      <w:r w:rsidR="008A267E">
        <w:t xml:space="preserve">e </w:t>
      </w:r>
      <w:r>
        <w:t xml:space="preserve">that the report from the </w:t>
      </w:r>
      <w:r w:rsidR="00130D0E">
        <w:t>external examiner</w:t>
      </w:r>
      <w:r>
        <w:t xml:space="preserve"> is discussed by the Board of Studies and that appropriate actions are taken</w:t>
      </w:r>
    </w:p>
    <w:p w:rsidR="00D5711A" w:rsidRDefault="00D5711A" w:rsidP="00D5711A">
      <w:pPr>
        <w:pStyle w:val="CoPNumberlevel1"/>
      </w:pPr>
      <w:r>
        <w:t>The Quality Manage</w:t>
      </w:r>
      <w:r w:rsidR="00452881">
        <w:t xml:space="preserve">ment Committee </w:t>
      </w:r>
      <w:r w:rsidR="008A267E">
        <w:t>will</w:t>
      </w:r>
      <w:r>
        <w:t>:</w:t>
      </w:r>
    </w:p>
    <w:p w:rsidR="00D5711A" w:rsidRDefault="00D5711A" w:rsidP="00D5711A">
      <w:pPr>
        <w:pStyle w:val="CoPNumberlevel2"/>
      </w:pPr>
      <w:r>
        <w:t>Approv</w:t>
      </w:r>
      <w:r w:rsidR="008A267E">
        <w:t xml:space="preserve">e </w:t>
      </w:r>
      <w:r w:rsidR="00452881">
        <w:t xml:space="preserve">draft responses to the reports of external examiners  </w:t>
      </w:r>
    </w:p>
    <w:p w:rsidR="00452881" w:rsidRDefault="00452881" w:rsidP="008A267E">
      <w:pPr>
        <w:pStyle w:val="CoPNumberlevel2"/>
      </w:pPr>
      <w:r>
        <w:t>Provid</w:t>
      </w:r>
      <w:r w:rsidR="008A267E">
        <w:t xml:space="preserve">e </w:t>
      </w:r>
      <w:r>
        <w:t>Learning and</w:t>
      </w:r>
      <w:r w:rsidRPr="004565AA">
        <w:t xml:space="preserve"> Teaching Committee </w:t>
      </w:r>
      <w:r>
        <w:t xml:space="preserve">with an annual summary of issues raised in the reports from external examiners and </w:t>
      </w:r>
      <w:r w:rsidRPr="004565AA">
        <w:t>any action</w:t>
      </w:r>
      <w:r>
        <w:t>s to be taken</w:t>
      </w:r>
    </w:p>
    <w:p w:rsidR="007864B8" w:rsidRPr="005D6697" w:rsidRDefault="007864B8" w:rsidP="007864B8">
      <w:pPr>
        <w:pStyle w:val="CoPborderheading"/>
        <w:rPr>
          <w:rFonts w:hint="eastAsia"/>
        </w:rPr>
      </w:pPr>
      <w:bookmarkStart w:id="6" w:name="_Toc317516551"/>
      <w:bookmarkStart w:id="7" w:name="_Toc393892000"/>
      <w:r w:rsidRPr="005D6697">
        <w:t>Selection</w:t>
      </w:r>
      <w:r>
        <w:t xml:space="preserve"> of External Examiners</w:t>
      </w:r>
      <w:bookmarkEnd w:id="6"/>
      <w:bookmarkEnd w:id="7"/>
      <w:r w:rsidRPr="005D6697">
        <w:t xml:space="preserve"> </w:t>
      </w:r>
    </w:p>
    <w:p w:rsidR="009423E3" w:rsidRDefault="009423E3" w:rsidP="009423E3">
      <w:pPr>
        <w:pStyle w:val="CoPNumberlevel1"/>
      </w:pPr>
      <w:r w:rsidRPr="00A534DD">
        <w:t xml:space="preserve">No LSTM award </w:t>
      </w:r>
      <w:r>
        <w:t xml:space="preserve">will be </w:t>
      </w:r>
      <w:r w:rsidRPr="00A534DD">
        <w:t>made without the participation in the examining process of at least one examiner external to LSTM or a collaborating institution</w:t>
      </w:r>
      <w:r>
        <w:t>. For s</w:t>
      </w:r>
      <w:r w:rsidRPr="004565AA">
        <w:t>ome programmes</w:t>
      </w:r>
      <w:r>
        <w:t xml:space="preserve">, </w:t>
      </w:r>
      <w:r w:rsidRPr="004565AA">
        <w:t xml:space="preserve">more than one external examiner </w:t>
      </w:r>
      <w:r>
        <w:t xml:space="preserve">may be appointed </w:t>
      </w:r>
      <w:r w:rsidRPr="004565AA">
        <w:t>to cover the range of sub</w:t>
      </w:r>
      <w:r w:rsidR="008A267E">
        <w:t>ject matter</w:t>
      </w:r>
      <w:r w:rsidRPr="004565AA">
        <w:t>.</w:t>
      </w:r>
      <w:r>
        <w:t xml:space="preserve">  For a modular programme, each </w:t>
      </w:r>
      <w:r w:rsidRPr="004565AA">
        <w:t xml:space="preserve">module </w:t>
      </w:r>
      <w:r>
        <w:t>will be assigned to a specific external examiner.</w:t>
      </w:r>
    </w:p>
    <w:p w:rsidR="007864B8" w:rsidRDefault="007864B8" w:rsidP="007864B8">
      <w:pPr>
        <w:pStyle w:val="CoPNumberlevel1"/>
      </w:pPr>
      <w:r w:rsidRPr="004565AA">
        <w:t xml:space="preserve">Proposed external examiners </w:t>
      </w:r>
      <w:r>
        <w:t>must demonstrate:</w:t>
      </w:r>
    </w:p>
    <w:p w:rsidR="007864B8" w:rsidRPr="007864B8" w:rsidRDefault="007864B8" w:rsidP="007864B8">
      <w:pPr>
        <w:pStyle w:val="CoPNumberlevel2"/>
      </w:pPr>
      <w:r w:rsidRPr="00F31FF2">
        <w:lastRenderedPageBreak/>
        <w:t>Know</w:t>
      </w:r>
      <w:r w:rsidRPr="007864B8">
        <w:t>ledge</w:t>
      </w:r>
      <w:r w:rsidR="00BE74D0">
        <w:t xml:space="preserve"> and </w:t>
      </w:r>
      <w:r w:rsidR="008A267E">
        <w:t xml:space="preserve">understanding of </w:t>
      </w:r>
      <w:r w:rsidRPr="007864B8">
        <w:t xml:space="preserve">agreed reference points </w:t>
      </w:r>
      <w:r w:rsidR="008A267E">
        <w:t xml:space="preserve">in the UK higher education sector </w:t>
      </w:r>
      <w:r w:rsidRPr="007864B8">
        <w:t>for the maintenance of academic standards and assur</w:t>
      </w:r>
      <w:r w:rsidR="009A02C5">
        <w:t>ance and enhancement of quality</w:t>
      </w:r>
    </w:p>
    <w:p w:rsidR="007864B8" w:rsidRPr="007864B8" w:rsidRDefault="007864B8" w:rsidP="007864B8">
      <w:pPr>
        <w:pStyle w:val="CoPNumberlevel2"/>
      </w:pPr>
      <w:r w:rsidRPr="007864B8">
        <w:t>Competence and experience in the fields covered by the progr</w:t>
      </w:r>
      <w:r w:rsidR="007550DB">
        <w:t>amme</w:t>
      </w:r>
      <w:r w:rsidR="008A267E">
        <w:t xml:space="preserve"> </w:t>
      </w:r>
    </w:p>
    <w:p w:rsidR="007864B8" w:rsidRPr="007864B8" w:rsidRDefault="007864B8" w:rsidP="007864B8">
      <w:pPr>
        <w:pStyle w:val="CoPNumberlevel2"/>
      </w:pPr>
      <w:r w:rsidRPr="007864B8">
        <w:t>Relevant academic and/or professional qualifications to at least the level of the qualifica</w:t>
      </w:r>
      <w:r w:rsidR="008A267E">
        <w:t xml:space="preserve">tion being externally examined </w:t>
      </w:r>
      <w:r w:rsidRPr="007864B8">
        <w:t>and/or extensive practition</w:t>
      </w:r>
      <w:r w:rsidR="008A267E">
        <w:t>er experience</w:t>
      </w:r>
    </w:p>
    <w:p w:rsidR="007864B8" w:rsidRPr="007864B8" w:rsidRDefault="007864B8" w:rsidP="007864B8">
      <w:pPr>
        <w:pStyle w:val="CoPNumberlevel2"/>
      </w:pPr>
      <w:r w:rsidRPr="007864B8">
        <w:t xml:space="preserve">Competence and experience relating to designing and operating a variety of assessment tasks appropriate to the subject and </w:t>
      </w:r>
      <w:r w:rsidR="009A02C5">
        <w:t>operating assessment procedures</w:t>
      </w:r>
    </w:p>
    <w:p w:rsidR="007864B8" w:rsidRPr="007864B8" w:rsidRDefault="007864B8" w:rsidP="007864B8">
      <w:pPr>
        <w:pStyle w:val="CoPNumberlevel2"/>
      </w:pPr>
      <w:r w:rsidRPr="007864B8">
        <w:t xml:space="preserve">Sufficient standing, credibility and breadth of experience within the discipline to be able to command the respect of academic peers and, where </w:t>
      </w:r>
      <w:r w:rsidR="009A02C5">
        <w:t>appropriate, professional peers</w:t>
      </w:r>
    </w:p>
    <w:p w:rsidR="007864B8" w:rsidRPr="007864B8" w:rsidRDefault="007864B8" w:rsidP="007864B8">
      <w:pPr>
        <w:pStyle w:val="CoPNumberlevel2"/>
      </w:pPr>
      <w:r w:rsidRPr="007864B8">
        <w:t>Familiarity with the standards to be expected of students to achieve t</w:t>
      </w:r>
      <w:r w:rsidR="009A02C5">
        <w:t>he award that is to be assessed</w:t>
      </w:r>
    </w:p>
    <w:p w:rsidR="007864B8" w:rsidRPr="007864B8" w:rsidRDefault="007864B8" w:rsidP="007864B8">
      <w:pPr>
        <w:pStyle w:val="CoPNumberlevel2"/>
      </w:pPr>
      <w:r w:rsidRPr="007864B8">
        <w:t xml:space="preserve">Fluency in English and, where programmes are delivered and assessed in languages other than English, fluency in the relevant language(s) (unless other secure arrangements are in place to ensure that external examiners are provided with the information to make </w:t>
      </w:r>
      <w:r w:rsidR="009A02C5">
        <w:t>their judgements)</w:t>
      </w:r>
    </w:p>
    <w:p w:rsidR="007864B8" w:rsidRPr="007864B8" w:rsidRDefault="007864B8" w:rsidP="007864B8">
      <w:pPr>
        <w:pStyle w:val="CoPNumberlevel2"/>
      </w:pPr>
      <w:r w:rsidRPr="007864B8">
        <w:t>The satisfaction of applicable criteria set by professional,</w:t>
      </w:r>
      <w:r w:rsidR="009A02C5">
        <w:t xml:space="preserve"> statutory or regulatory bodies</w:t>
      </w:r>
    </w:p>
    <w:p w:rsidR="007864B8" w:rsidRPr="007864B8" w:rsidRDefault="007864B8" w:rsidP="007864B8">
      <w:pPr>
        <w:pStyle w:val="CoPNumberlevel2"/>
      </w:pPr>
      <w:r w:rsidRPr="007864B8">
        <w:t xml:space="preserve">Awareness of current developments in the design and </w:t>
      </w:r>
      <w:r w:rsidR="009A02C5">
        <w:t>delivery of relevant curricula</w:t>
      </w:r>
    </w:p>
    <w:p w:rsidR="007864B8" w:rsidRPr="008E26D8" w:rsidRDefault="007864B8" w:rsidP="007864B8">
      <w:pPr>
        <w:pStyle w:val="CoPNumberlevel2"/>
      </w:pPr>
      <w:r w:rsidRPr="007864B8">
        <w:t xml:space="preserve">Competence and experience relating to the enhancement of the student learning </w:t>
      </w:r>
      <w:r w:rsidR="009A02C5">
        <w:t>experience</w:t>
      </w:r>
    </w:p>
    <w:p w:rsidR="007864B8" w:rsidRDefault="007864B8" w:rsidP="007864B8">
      <w:pPr>
        <w:pStyle w:val="CoPNumberlevel1"/>
      </w:pPr>
      <w:r>
        <w:t xml:space="preserve">Appointments </w:t>
      </w:r>
      <w:r w:rsidR="00E860D7">
        <w:t xml:space="preserve">will not </w:t>
      </w:r>
      <w:r>
        <w:t>be made of any individual in the following categories or circumstances:</w:t>
      </w:r>
    </w:p>
    <w:p w:rsidR="007864B8" w:rsidRPr="007864B8" w:rsidRDefault="007864B8" w:rsidP="007864B8">
      <w:pPr>
        <w:pStyle w:val="CoPNumberlevel2"/>
      </w:pPr>
      <w:r w:rsidRPr="007864B8">
        <w:t>A member o</w:t>
      </w:r>
      <w:r w:rsidR="007550DB">
        <w:t xml:space="preserve">f a governing body or current employee </w:t>
      </w:r>
      <w:r w:rsidRPr="007864B8">
        <w:t>of LSTM or one of its collaborative partners</w:t>
      </w:r>
      <w:r w:rsidR="007550DB">
        <w:t xml:space="preserve"> </w:t>
      </w:r>
    </w:p>
    <w:p w:rsidR="007864B8" w:rsidRPr="007864B8" w:rsidRDefault="007864B8" w:rsidP="007864B8">
      <w:pPr>
        <w:pStyle w:val="CoPNumberlevel2"/>
      </w:pPr>
      <w:r w:rsidRPr="007864B8">
        <w:t>Anyone with a close professional, contractual or personal relationship with a member of staff or student invol</w:t>
      </w:r>
      <w:r w:rsidR="009A02C5">
        <w:t>ved with the programme of study</w:t>
      </w:r>
    </w:p>
    <w:p w:rsidR="007864B8" w:rsidRPr="007864B8" w:rsidRDefault="007864B8" w:rsidP="007864B8">
      <w:pPr>
        <w:pStyle w:val="CoPNumberlevel2"/>
      </w:pPr>
      <w:r w:rsidRPr="007864B8">
        <w:t xml:space="preserve">Anyone required to assess colleagues who are recruited as </w:t>
      </w:r>
      <w:r w:rsidR="00BE74D0">
        <w:t>students to the programme</w:t>
      </w:r>
    </w:p>
    <w:p w:rsidR="007864B8" w:rsidRPr="007864B8" w:rsidRDefault="007864B8" w:rsidP="007864B8">
      <w:pPr>
        <w:pStyle w:val="CoPNumberlevel2"/>
      </w:pPr>
      <w:r w:rsidRPr="007864B8">
        <w:t>Anyone who is, or knows they will be, in a position to influence significantly the future of stu</w:t>
      </w:r>
      <w:r w:rsidR="009A02C5">
        <w:t>dents on the programm</w:t>
      </w:r>
      <w:r w:rsidR="00BE74D0">
        <w:t>e</w:t>
      </w:r>
    </w:p>
    <w:p w:rsidR="007864B8" w:rsidRPr="007864B8" w:rsidRDefault="007864B8" w:rsidP="007864B8">
      <w:pPr>
        <w:pStyle w:val="CoPNumberlevel2"/>
      </w:pPr>
      <w:r w:rsidRPr="007864B8">
        <w:lastRenderedPageBreak/>
        <w:t xml:space="preserve">Former </w:t>
      </w:r>
      <w:r w:rsidR="007550DB">
        <w:t xml:space="preserve">LSTM </w:t>
      </w:r>
      <w:r w:rsidRPr="007864B8">
        <w:t>staff or students unless a period of five years has elapsed and all students taught by or with the external examiner have com</w:t>
      </w:r>
      <w:r w:rsidR="009A02C5">
        <w:t>pleted their programme(s)</w:t>
      </w:r>
    </w:p>
    <w:p w:rsidR="007864B8" w:rsidRPr="007864B8" w:rsidRDefault="007864B8" w:rsidP="007864B8">
      <w:pPr>
        <w:pStyle w:val="CoPNumberlevel2"/>
      </w:pPr>
      <w:r w:rsidRPr="007864B8">
        <w:t>The succession of an external examiner by a colleague from the examiner’s home department,</w:t>
      </w:r>
      <w:r w:rsidR="009A02C5">
        <w:t xml:space="preserve"> or equivalent, and institution</w:t>
      </w:r>
    </w:p>
    <w:p w:rsidR="007550DB" w:rsidRDefault="007864B8" w:rsidP="007864B8">
      <w:pPr>
        <w:pStyle w:val="CoPNumberlevel2"/>
      </w:pPr>
      <w:r w:rsidRPr="007864B8">
        <w:t>Where an individual has previously been appointed for the maximum four year duration as external examiner, unless a period of five years has elapsed</w:t>
      </w:r>
      <w:r w:rsidR="008010CA">
        <w:t xml:space="preserve"> since their last appointment.</w:t>
      </w:r>
    </w:p>
    <w:p w:rsidR="00BE74D0" w:rsidRDefault="00BE74D0" w:rsidP="00BE74D0">
      <w:pPr>
        <w:pStyle w:val="CoPNumberlevel1"/>
      </w:pPr>
      <w:r>
        <w:t>The following restrictions will also normally apply to the appointment of external examiners.  However, exceptions may be approved by the D</w:t>
      </w:r>
      <w:r w:rsidR="005F4FC1">
        <w:t>ean</w:t>
      </w:r>
      <w:r>
        <w:t xml:space="preserve"> of Education where the number of potential </w:t>
      </w:r>
      <w:r w:rsidR="007550DB">
        <w:t xml:space="preserve">external </w:t>
      </w:r>
      <w:r>
        <w:t>examiners is limited due to the specialist nature of the programme:</w:t>
      </w:r>
    </w:p>
    <w:p w:rsidR="00BE74D0" w:rsidRDefault="00BE74D0" w:rsidP="00BE74D0">
      <w:pPr>
        <w:pStyle w:val="CoPNumberlevel2"/>
      </w:pPr>
      <w:r w:rsidRPr="007864B8">
        <w:t>Anyone significantly involved in recent or current substantive collaborative research activities with a member of staff closely involved in the delivery, management or assessment of the progr</w:t>
      </w:r>
      <w:r>
        <w:t>amme(s) or modules in question</w:t>
      </w:r>
    </w:p>
    <w:p w:rsidR="00BE74D0" w:rsidRPr="007864B8" w:rsidRDefault="00BE74D0" w:rsidP="00BE74D0">
      <w:pPr>
        <w:pStyle w:val="CoPNumberlevel2"/>
      </w:pPr>
      <w:r w:rsidRPr="007864B8">
        <w:t>A reciprocal arrangement involving cognate pro</w:t>
      </w:r>
      <w:r>
        <w:t>grammes at another institution</w:t>
      </w:r>
    </w:p>
    <w:p w:rsidR="00BE74D0" w:rsidRPr="007864B8" w:rsidRDefault="00BE74D0" w:rsidP="00BE74D0">
      <w:pPr>
        <w:pStyle w:val="CoPNumberlevel2"/>
      </w:pPr>
      <w:r w:rsidRPr="007864B8">
        <w:t>The appointment of more than one external examiner from the same department, or equiv</w:t>
      </w:r>
      <w:r>
        <w:t>alent, of the same institution</w:t>
      </w:r>
    </w:p>
    <w:p w:rsidR="00BE74D0" w:rsidRPr="007864B8" w:rsidRDefault="00BE74D0" w:rsidP="00BE74D0">
      <w:pPr>
        <w:pStyle w:val="CoPNumberlevel2"/>
      </w:pPr>
      <w:r w:rsidRPr="007864B8">
        <w:t>Where an individual would consequently hold more than two external examiner appointments at the same time</w:t>
      </w:r>
    </w:p>
    <w:p w:rsidR="007864B8" w:rsidRDefault="007864B8" w:rsidP="007864B8">
      <w:pPr>
        <w:pStyle w:val="CoPNumberlevel1"/>
      </w:pPr>
      <w:r w:rsidRPr="004565AA">
        <w:t xml:space="preserve">If a programme needs to meet </w:t>
      </w:r>
      <w:r w:rsidR="00E860D7">
        <w:t xml:space="preserve">the requirements of a </w:t>
      </w:r>
      <w:r w:rsidRPr="004565AA">
        <w:t>professional</w:t>
      </w:r>
      <w:r w:rsidR="00E860D7">
        <w:t xml:space="preserve"> and statutory body</w:t>
      </w:r>
      <w:r w:rsidRPr="004565AA">
        <w:t>, it may be appropriate to appoint an exte</w:t>
      </w:r>
      <w:r w:rsidR="00BE74D0">
        <w:t>rnal examiner from outside the higher e</w:t>
      </w:r>
      <w:r w:rsidRPr="004565AA">
        <w:t>ducation system.</w:t>
      </w:r>
    </w:p>
    <w:p w:rsidR="00ED1F5A" w:rsidRDefault="00ED1F5A" w:rsidP="00ED1F5A">
      <w:pPr>
        <w:pStyle w:val="CoPborderheading"/>
        <w:rPr>
          <w:rFonts w:hint="eastAsia"/>
        </w:rPr>
      </w:pPr>
      <w:bookmarkStart w:id="8" w:name="_Toc317516552"/>
      <w:bookmarkStart w:id="9" w:name="_Toc393892001"/>
      <w:r>
        <w:t>Appointment</w:t>
      </w:r>
      <w:bookmarkEnd w:id="8"/>
      <w:r>
        <w:t xml:space="preserve"> of External Examiners</w:t>
      </w:r>
      <w:bookmarkEnd w:id="9"/>
      <w:r>
        <w:t xml:space="preserve"> </w:t>
      </w:r>
    </w:p>
    <w:p w:rsidR="0028170C" w:rsidRDefault="007550DB" w:rsidP="0028170C">
      <w:pPr>
        <w:pStyle w:val="CoPNumberlevel1"/>
      </w:pPr>
      <w:r>
        <w:t>External examiners</w:t>
      </w:r>
      <w:r w:rsidR="00ED1F5A" w:rsidRPr="00EA6180">
        <w:t xml:space="preserve"> </w:t>
      </w:r>
      <w:r w:rsidR="009E72D6">
        <w:t xml:space="preserve">will be </w:t>
      </w:r>
      <w:r w:rsidR="00ED1F5A" w:rsidRPr="00EA6180">
        <w:t xml:space="preserve">appointed </w:t>
      </w:r>
      <w:r w:rsidR="00E860D7">
        <w:t xml:space="preserve">for one year with the possibility of annual renewals </w:t>
      </w:r>
      <w:r w:rsidR="00ED1F5A" w:rsidRPr="00EA6180">
        <w:t xml:space="preserve">for a maximum </w:t>
      </w:r>
      <w:r w:rsidR="00E860D7">
        <w:t xml:space="preserve">term </w:t>
      </w:r>
      <w:r w:rsidR="00ED1F5A" w:rsidRPr="00EA6180">
        <w:t>of four years.  In exceptional cases an extension period of one additional year will be granted (for example to ensure continuity if a programme is coming to an end).</w:t>
      </w:r>
      <w:r>
        <w:t xml:space="preserve"> </w:t>
      </w:r>
      <w:r w:rsidRPr="007550DB">
        <w:t>Except with special approval from the D</w:t>
      </w:r>
      <w:r w:rsidR="005F4FC1">
        <w:t>ean</w:t>
      </w:r>
      <w:r w:rsidRPr="007550DB">
        <w:t xml:space="preserve"> of Education, no external examiner will serve for more than two terms</w:t>
      </w:r>
      <w:r w:rsidR="00E329F0">
        <w:t>.</w:t>
      </w:r>
      <w:r w:rsidR="0028170C">
        <w:t xml:space="preserve">  </w:t>
      </w:r>
      <w:r w:rsidR="0028170C" w:rsidRPr="004565AA">
        <w:t>Appointment</w:t>
      </w:r>
      <w:r w:rsidR="00E860D7">
        <w:t xml:space="preserve">s </w:t>
      </w:r>
      <w:r w:rsidR="0028170C">
        <w:t xml:space="preserve">will be </w:t>
      </w:r>
      <w:r w:rsidR="0028170C" w:rsidRPr="004565AA">
        <w:t xml:space="preserve">phased </w:t>
      </w:r>
      <w:r w:rsidR="0028170C">
        <w:t xml:space="preserve">wherever possible </w:t>
      </w:r>
      <w:r w:rsidR="0028170C" w:rsidRPr="004565AA">
        <w:t xml:space="preserve">to </w:t>
      </w:r>
      <w:r w:rsidR="0028170C">
        <w:t xml:space="preserve">facilitate </w:t>
      </w:r>
      <w:r w:rsidR="0028170C" w:rsidRPr="004565AA">
        <w:t>the mentoring of new examiners.</w:t>
      </w:r>
    </w:p>
    <w:p w:rsidR="00ED1F5A" w:rsidRDefault="008A267E" w:rsidP="007A1C52">
      <w:pPr>
        <w:pStyle w:val="CoPNumberlevel1"/>
      </w:pPr>
      <w:r w:rsidRPr="004565AA">
        <w:t xml:space="preserve">External examiners </w:t>
      </w:r>
      <w:r>
        <w:t xml:space="preserve">will be </w:t>
      </w:r>
      <w:r w:rsidRPr="004565AA">
        <w:t xml:space="preserve">responsible </w:t>
      </w:r>
      <w:r>
        <w:t>to the LSTM D</w:t>
      </w:r>
      <w:r w:rsidR="005F4FC1">
        <w:t>ean</w:t>
      </w:r>
      <w:r>
        <w:t xml:space="preserve"> of Education for the execution of their duties.  They </w:t>
      </w:r>
      <w:r w:rsidR="009E72D6">
        <w:t xml:space="preserve">will be </w:t>
      </w:r>
      <w:r w:rsidR="00ED1F5A" w:rsidRPr="004565AA">
        <w:t>given a written offer of appointment outlining their specific duties</w:t>
      </w:r>
      <w:r w:rsidR="00E329F0">
        <w:t xml:space="preserve">, including information on how they may raise a matter of serious concern, together with information on the </w:t>
      </w:r>
      <w:r w:rsidR="00ED1F5A" w:rsidRPr="004565AA">
        <w:t>module</w:t>
      </w:r>
      <w:r w:rsidR="00E329F0">
        <w:t>(s)</w:t>
      </w:r>
      <w:r w:rsidR="00ED1F5A" w:rsidRPr="004565AA">
        <w:t xml:space="preserve">/programme for which </w:t>
      </w:r>
      <w:r w:rsidR="00E329F0">
        <w:t xml:space="preserve">they </w:t>
      </w:r>
      <w:r w:rsidR="0028170C">
        <w:t xml:space="preserve">will be responsible. </w:t>
      </w:r>
      <w:r w:rsidR="00E329F0">
        <w:t xml:space="preserve">New </w:t>
      </w:r>
      <w:r w:rsidR="00ED1F5A" w:rsidRPr="004565AA">
        <w:t xml:space="preserve">external examiners </w:t>
      </w:r>
      <w:r w:rsidR="009E72D6">
        <w:t xml:space="preserve">will be </w:t>
      </w:r>
      <w:r w:rsidR="00ED1F5A" w:rsidRPr="004565AA">
        <w:t xml:space="preserve">offered the opportunity </w:t>
      </w:r>
      <w:r w:rsidR="00ED1F5A">
        <w:t xml:space="preserve">to </w:t>
      </w:r>
      <w:r w:rsidR="00ED1F5A" w:rsidRPr="004565AA">
        <w:t>visit</w:t>
      </w:r>
      <w:r w:rsidR="00ED1F5A">
        <w:t xml:space="preserve"> </w:t>
      </w:r>
      <w:r w:rsidR="00ED1F5A" w:rsidRPr="004565AA">
        <w:t>LSTM to discuss their responsibilities and to familiarise th</w:t>
      </w:r>
      <w:r w:rsidR="008010CA">
        <w:t>emselves with the institution.</w:t>
      </w:r>
    </w:p>
    <w:p w:rsidR="00ED1F5A" w:rsidRDefault="00ED1F5A" w:rsidP="00ED1F5A">
      <w:pPr>
        <w:pStyle w:val="CoPNumberlevel1"/>
      </w:pPr>
      <w:r w:rsidRPr="004565AA">
        <w:lastRenderedPageBreak/>
        <w:t xml:space="preserve">If the performance of an external examiner </w:t>
      </w:r>
      <w:r w:rsidR="00A40FD7">
        <w:t>is felt to be unsatisfactory</w:t>
      </w:r>
      <w:r w:rsidR="00130D0E">
        <w:t>,</w:t>
      </w:r>
      <w:r w:rsidR="00A40FD7">
        <w:t xml:space="preserve"> or there i</w:t>
      </w:r>
      <w:r w:rsidR="00130D0E">
        <w:t xml:space="preserve">s </w:t>
      </w:r>
      <w:r w:rsidR="00A40FD7">
        <w:t xml:space="preserve">a </w:t>
      </w:r>
      <w:r w:rsidR="00A40FD7" w:rsidRPr="00A40FD7">
        <w:t xml:space="preserve">change in circumstance </w:t>
      </w:r>
      <w:r w:rsidR="00130D0E">
        <w:t xml:space="preserve">relevant to </w:t>
      </w:r>
      <w:r w:rsidR="00A40FD7" w:rsidRPr="00A40FD7">
        <w:t>Section 4.3</w:t>
      </w:r>
      <w:r w:rsidR="00130D0E">
        <w:t xml:space="preserve">, LSTM </w:t>
      </w:r>
      <w:r w:rsidR="00E860D7">
        <w:t xml:space="preserve">reserves the right to not renew an </w:t>
      </w:r>
      <w:r w:rsidRPr="004565AA">
        <w:t>appointment</w:t>
      </w:r>
      <w:r w:rsidR="00E860D7">
        <w:t xml:space="preserve"> or, exceptionally, to </w:t>
      </w:r>
      <w:r w:rsidRPr="004565AA">
        <w:t>terminate</w:t>
      </w:r>
      <w:r w:rsidR="00E860D7">
        <w:t xml:space="preserve"> an appointment </w:t>
      </w:r>
      <w:r>
        <w:t>mid-session</w:t>
      </w:r>
      <w:r w:rsidR="0028170C">
        <w:t xml:space="preserve">. </w:t>
      </w:r>
      <w:r w:rsidR="00E860D7">
        <w:t>T</w:t>
      </w:r>
      <w:r>
        <w:t xml:space="preserve">ermination </w:t>
      </w:r>
      <w:r w:rsidR="0028170C">
        <w:t xml:space="preserve">will be </w:t>
      </w:r>
      <w:r>
        <w:t xml:space="preserve">made with immediate effect </w:t>
      </w:r>
      <w:r w:rsidR="0028170C">
        <w:t xml:space="preserve">with </w:t>
      </w:r>
      <w:r>
        <w:t>n</w:t>
      </w:r>
      <w:r w:rsidR="00E860D7">
        <w:t>o right of appeal</w:t>
      </w:r>
      <w:r w:rsidR="002168F4">
        <w:t xml:space="preserve"> and a</w:t>
      </w:r>
      <w:r w:rsidR="00E860D7">
        <w:t xml:space="preserve">ny fee due may be made on a </w:t>
      </w:r>
      <w:r w:rsidR="00E860D7" w:rsidRPr="002168F4">
        <w:rPr>
          <w:i/>
        </w:rPr>
        <w:t xml:space="preserve">pro </w:t>
      </w:r>
      <w:r w:rsidRPr="002168F4">
        <w:rPr>
          <w:i/>
        </w:rPr>
        <w:t>rata</w:t>
      </w:r>
      <w:r>
        <w:t xml:space="preserve"> basis at the discretion of the D</w:t>
      </w:r>
      <w:r w:rsidR="005F4FC1">
        <w:t>ean</w:t>
      </w:r>
      <w:r>
        <w:t xml:space="preserve"> of Education.</w:t>
      </w:r>
      <w:r w:rsidR="0028170C">
        <w:t xml:space="preserve">  </w:t>
      </w:r>
      <w:r w:rsidRPr="004565AA">
        <w:t xml:space="preserve">Grounds for </w:t>
      </w:r>
      <w:r w:rsidR="00E860D7">
        <w:t xml:space="preserve">non-renewal or termination of an appointment </w:t>
      </w:r>
      <w:r w:rsidRPr="004565AA">
        <w:t>may include</w:t>
      </w:r>
      <w:r w:rsidR="008010CA">
        <w:t>:</w:t>
      </w:r>
    </w:p>
    <w:p w:rsidR="00ED1F5A" w:rsidRPr="00194DA3" w:rsidRDefault="00ED1F5A" w:rsidP="00ED1F5A">
      <w:pPr>
        <w:pStyle w:val="CoPNumberlevel2"/>
      </w:pPr>
      <w:r w:rsidRPr="00194DA3">
        <w:t>Non-submission of repo</w:t>
      </w:r>
      <w:r w:rsidR="0028170C">
        <w:t>rts by the prescribed deadlines</w:t>
      </w:r>
    </w:p>
    <w:p w:rsidR="00ED1F5A" w:rsidRPr="00194DA3" w:rsidRDefault="00ED1F5A" w:rsidP="00ED1F5A">
      <w:pPr>
        <w:pStyle w:val="CoPNumberlevel2"/>
      </w:pPr>
      <w:r w:rsidRPr="00194DA3">
        <w:t>Non-attendance at advertised Boards of Examiners</w:t>
      </w:r>
      <w:r w:rsidR="00E860D7">
        <w:t>, whether in person or remotely</w:t>
      </w:r>
    </w:p>
    <w:p w:rsidR="00ED1F5A" w:rsidRPr="00452881" w:rsidRDefault="00ED1F5A" w:rsidP="00ED1F5A">
      <w:pPr>
        <w:pStyle w:val="CoPNumberlevel2"/>
      </w:pPr>
      <w:r w:rsidRPr="00452881">
        <w:t>An</w:t>
      </w:r>
      <w:r w:rsidR="00E860D7" w:rsidRPr="00452881">
        <w:t>y conduct deemed unprofessional</w:t>
      </w:r>
    </w:p>
    <w:p w:rsidR="00452881" w:rsidRDefault="00ED1F5A" w:rsidP="00452881">
      <w:pPr>
        <w:pStyle w:val="CoPborderheading"/>
        <w:rPr>
          <w:rFonts w:hint="eastAsia"/>
        </w:rPr>
      </w:pPr>
      <w:bookmarkStart w:id="10" w:name="_Toc317516553"/>
      <w:bookmarkStart w:id="11" w:name="_Toc393892002"/>
      <w:r w:rsidRPr="00452881">
        <w:t>Participation of External Examiners in Assessment Procedures</w:t>
      </w:r>
      <w:bookmarkEnd w:id="10"/>
      <w:bookmarkEnd w:id="11"/>
    </w:p>
    <w:p w:rsidR="00ED1F5A" w:rsidRPr="00452881" w:rsidRDefault="00ED1F5A" w:rsidP="00452881">
      <w:pPr>
        <w:pStyle w:val="CoPNumberlevel1"/>
      </w:pPr>
      <w:r w:rsidRPr="00452881">
        <w:t xml:space="preserve">All draft examination papers should be </w:t>
      </w:r>
      <w:r w:rsidR="0067544D" w:rsidRPr="00452881">
        <w:t xml:space="preserve">approved by the responsible external examiner in line with the </w:t>
      </w:r>
      <w:r w:rsidR="008A267E">
        <w:rPr>
          <w:i/>
        </w:rPr>
        <w:t>Procedure for V</w:t>
      </w:r>
      <w:r w:rsidR="00D45606" w:rsidRPr="00452881">
        <w:rPr>
          <w:i/>
        </w:rPr>
        <w:t>eri</w:t>
      </w:r>
      <w:r w:rsidR="008A267E">
        <w:rPr>
          <w:i/>
        </w:rPr>
        <w:t>fying Examination Q</w:t>
      </w:r>
      <w:r w:rsidR="00D45606" w:rsidRPr="00452881">
        <w:rPr>
          <w:i/>
        </w:rPr>
        <w:t>uestions</w:t>
      </w:r>
      <w:r w:rsidR="009672AE" w:rsidRPr="00452881">
        <w:rPr>
          <w:i/>
        </w:rPr>
        <w:t>.</w:t>
      </w:r>
    </w:p>
    <w:p w:rsidR="008A267E" w:rsidRPr="008440E4" w:rsidRDefault="008A267E" w:rsidP="008A267E">
      <w:pPr>
        <w:pStyle w:val="CoPNumberlevel1"/>
      </w:pPr>
      <w:r>
        <w:t>External examiners appointed at ‘</w:t>
      </w:r>
      <w:r w:rsidRPr="00E329F0">
        <w:t>subject</w:t>
      </w:r>
      <w:r>
        <w:t>’</w:t>
      </w:r>
      <w:r w:rsidRPr="00E329F0">
        <w:t xml:space="preserve"> level </w:t>
      </w:r>
      <w:r>
        <w:t>will be expected to review assessment practice, performance, content and structure across a suite of modules or programme components; to endorse module or component marks; and to attend the Module Review Board.  External examiners appointed at ‘</w:t>
      </w:r>
      <w:r w:rsidRPr="00E329F0">
        <w:t>programme and subject</w:t>
      </w:r>
      <w:r>
        <w:t>’</w:t>
      </w:r>
      <w:r w:rsidRPr="00E329F0">
        <w:t xml:space="preserve"> level</w:t>
      </w:r>
      <w:r>
        <w:t xml:space="preserve"> will be expected in addition to review assessment practice, performance, content and structure across a programme; to endorse final awards; and to attend the Final Board of Examiners.</w:t>
      </w:r>
    </w:p>
    <w:p w:rsidR="00ED1F5A" w:rsidRPr="004565AA" w:rsidRDefault="00587D46" w:rsidP="007B1C5B">
      <w:pPr>
        <w:pStyle w:val="CoPNumberlevel1"/>
      </w:pPr>
      <w:r>
        <w:t>E</w:t>
      </w:r>
      <w:r w:rsidR="0067544D" w:rsidRPr="004565AA">
        <w:t>xternal examiner</w:t>
      </w:r>
      <w:r>
        <w:t>s</w:t>
      </w:r>
      <w:r w:rsidR="0067544D" w:rsidRPr="004565AA">
        <w:t xml:space="preserve"> ha</w:t>
      </w:r>
      <w:r>
        <w:t xml:space="preserve">ve </w:t>
      </w:r>
      <w:r w:rsidR="0067544D" w:rsidRPr="004565AA">
        <w:t>th</w:t>
      </w:r>
      <w:r w:rsidR="00B726DE">
        <w:t xml:space="preserve">e right to see all assessed work </w:t>
      </w:r>
      <w:r>
        <w:t>contributing to a module or programme for which they are responsible</w:t>
      </w:r>
      <w:r w:rsidR="00B726DE">
        <w:t xml:space="preserve">.  </w:t>
      </w:r>
      <w:r w:rsidR="0067544D" w:rsidRPr="004565AA">
        <w:t xml:space="preserve">In practice, </w:t>
      </w:r>
      <w:r>
        <w:t xml:space="preserve">they </w:t>
      </w:r>
      <w:r w:rsidR="0067544D" w:rsidRPr="004565AA">
        <w:t xml:space="preserve">should </w:t>
      </w:r>
      <w:r>
        <w:t xml:space="preserve">review </w:t>
      </w:r>
      <w:r w:rsidR="0067544D" w:rsidRPr="004565AA">
        <w:t xml:space="preserve">a </w:t>
      </w:r>
      <w:r w:rsidR="0067544D">
        <w:t xml:space="preserve">sufficient </w:t>
      </w:r>
      <w:r w:rsidR="0067544D" w:rsidRPr="004565AA">
        <w:t xml:space="preserve">sample of assessed work </w:t>
      </w:r>
      <w:r w:rsidR="0067544D">
        <w:t xml:space="preserve">to </w:t>
      </w:r>
      <w:r w:rsidR="00F00E87">
        <w:t xml:space="preserve">reach a judgment on whether </w:t>
      </w:r>
      <w:r w:rsidR="0067544D" w:rsidRPr="004565AA">
        <w:t>marking has been carried out consistently and to an appropriate standard</w:t>
      </w:r>
      <w:r w:rsidR="00F00E87">
        <w:t xml:space="preserve"> and </w:t>
      </w:r>
      <w:r w:rsidR="00ED1F5A" w:rsidRPr="004565AA">
        <w:t>the intended learning o</w:t>
      </w:r>
      <w:r>
        <w:t xml:space="preserve">utcomes </w:t>
      </w:r>
      <w:r w:rsidR="00ED1F5A" w:rsidRPr="004565AA">
        <w:t>have been achieved</w:t>
      </w:r>
      <w:r w:rsidR="00F00E87">
        <w:t xml:space="preserve">.  </w:t>
      </w:r>
      <w:r w:rsidR="007B1C5B">
        <w:t xml:space="preserve">Any mark adjustments suggested by an external examiner </w:t>
      </w:r>
      <w:r w:rsidR="00F00E87">
        <w:t xml:space="preserve">based on consideration of a sample </w:t>
      </w:r>
      <w:r w:rsidR="007B1C5B">
        <w:t>must be reflected in similar adjustments to work not included in the sample</w:t>
      </w:r>
      <w:r w:rsidR="008010CA">
        <w:t>.</w:t>
      </w:r>
    </w:p>
    <w:p w:rsidR="002C101A" w:rsidRPr="004565AA" w:rsidRDefault="002C101A" w:rsidP="002C101A">
      <w:pPr>
        <w:pStyle w:val="CoPNumberlevel1"/>
      </w:pPr>
      <w:r>
        <w:t xml:space="preserve">External examiners must not </w:t>
      </w:r>
      <w:r w:rsidRPr="004565AA">
        <w:t>hold</w:t>
      </w:r>
      <w:r>
        <w:t xml:space="preserve"> selective</w:t>
      </w:r>
      <w:r w:rsidRPr="004565AA">
        <w:t xml:space="preserve"> </w:t>
      </w:r>
      <w:r w:rsidRPr="00597E80">
        <w:rPr>
          <w:i/>
        </w:rPr>
        <w:t>viva voce</w:t>
      </w:r>
      <w:r w:rsidRPr="004565AA">
        <w:t xml:space="preserve"> examinations </w:t>
      </w:r>
      <w:r>
        <w:t>except for the specific purpose of determining recipients of student prizes.</w:t>
      </w:r>
    </w:p>
    <w:p w:rsidR="002C101A" w:rsidRDefault="002C101A" w:rsidP="002C101A">
      <w:pPr>
        <w:pStyle w:val="CoPNumberlevel1"/>
      </w:pPr>
      <w:r>
        <w:t xml:space="preserve">External examiners will participate in meetings </w:t>
      </w:r>
      <w:r w:rsidR="00EB2769">
        <w:t xml:space="preserve">of </w:t>
      </w:r>
      <w:r>
        <w:t xml:space="preserve">the Board of Examiners as detailed in the </w:t>
      </w:r>
      <w:r w:rsidRPr="002C101A">
        <w:rPr>
          <w:i/>
        </w:rPr>
        <w:t>Code of Practice on Monitoring S</w:t>
      </w:r>
      <w:r>
        <w:rPr>
          <w:i/>
        </w:rPr>
        <w:t>tudent Progress and the Conduct</w:t>
      </w:r>
      <w:r w:rsidRPr="002C101A">
        <w:rPr>
          <w:i/>
        </w:rPr>
        <w:t xml:space="preserve"> of Boards of Examiners</w:t>
      </w:r>
      <w:r>
        <w:t xml:space="preserve">.  </w:t>
      </w:r>
      <w:r w:rsidRPr="004565AA">
        <w:t xml:space="preserve">External examiners </w:t>
      </w:r>
      <w:r>
        <w:t xml:space="preserve">will </w:t>
      </w:r>
      <w:r w:rsidRPr="004565AA">
        <w:t>be given advance notice of the date</w:t>
      </w:r>
      <w:r>
        <w:t xml:space="preserve">s of </w:t>
      </w:r>
      <w:r w:rsidRPr="004565AA">
        <w:t>meeting</w:t>
      </w:r>
      <w:r>
        <w:t>s that they are expected to attend</w:t>
      </w:r>
      <w:r w:rsidRPr="004565AA">
        <w:t xml:space="preserve">.  </w:t>
      </w:r>
      <w:r>
        <w:t xml:space="preserve">In the exceptional circumstance that an external examiner is unavailable, arrangements must be made </w:t>
      </w:r>
      <w:r w:rsidRPr="004565AA">
        <w:t>for consultation by telephone</w:t>
      </w:r>
      <w:r>
        <w:t xml:space="preserve"> or other means.</w:t>
      </w:r>
    </w:p>
    <w:p w:rsidR="00ED1F5A" w:rsidRPr="004565AA" w:rsidRDefault="00ED1F5A" w:rsidP="00ED1F5A">
      <w:pPr>
        <w:pStyle w:val="CoPNumberlevel1"/>
      </w:pPr>
      <w:r w:rsidRPr="004565AA">
        <w:t xml:space="preserve">External examiners </w:t>
      </w:r>
      <w:r w:rsidR="009E72D6">
        <w:t xml:space="preserve">will be </w:t>
      </w:r>
      <w:r w:rsidR="00452881">
        <w:t xml:space="preserve">invited to attend meetings of the </w:t>
      </w:r>
      <w:r w:rsidR="00EB2769">
        <w:t>Extenu</w:t>
      </w:r>
      <w:r w:rsidR="00452881">
        <w:t>ating Circumstances C</w:t>
      </w:r>
      <w:r w:rsidR="00452881" w:rsidRPr="004565AA">
        <w:t>ommittee</w:t>
      </w:r>
      <w:r w:rsidR="00452881">
        <w:t xml:space="preserve"> and will be </w:t>
      </w:r>
      <w:r w:rsidR="00587D46">
        <w:t xml:space="preserve">given </w:t>
      </w:r>
      <w:r w:rsidR="00587D46" w:rsidRPr="004565AA">
        <w:t>the minutes</w:t>
      </w:r>
      <w:r w:rsidR="008010CA">
        <w:t>.</w:t>
      </w:r>
    </w:p>
    <w:p w:rsidR="00ED1F5A" w:rsidRPr="004565AA" w:rsidRDefault="00ED1F5A" w:rsidP="00ED1F5A">
      <w:pPr>
        <w:pStyle w:val="CoPNumberlevel1"/>
      </w:pPr>
      <w:r w:rsidRPr="004565AA">
        <w:lastRenderedPageBreak/>
        <w:t xml:space="preserve">Following the final </w:t>
      </w:r>
      <w:r>
        <w:t xml:space="preserve">Board of Examiners, </w:t>
      </w:r>
      <w:r w:rsidRPr="004565AA">
        <w:t xml:space="preserve">external examiners must indicate their approval of the outcomes of the assessment process by signing the final </w:t>
      </w:r>
      <w:r w:rsidR="00130D0E">
        <w:t>mark sheet</w:t>
      </w:r>
      <w:r w:rsidRPr="004565AA">
        <w:t xml:space="preserve">. </w:t>
      </w:r>
      <w:r w:rsidR="00B726DE">
        <w:t xml:space="preserve">If an </w:t>
      </w:r>
      <w:r w:rsidRPr="004565AA">
        <w:t>external examiner is unwil</w:t>
      </w:r>
      <w:r w:rsidR="00B726DE">
        <w:t>ling to endorse the outcomes</w:t>
      </w:r>
      <w:r w:rsidRPr="004565AA">
        <w:t xml:space="preserve">, the Board of Examiners </w:t>
      </w:r>
      <w:r w:rsidR="00B726DE">
        <w:t xml:space="preserve">will </w:t>
      </w:r>
      <w:r w:rsidRPr="004565AA">
        <w:t>withh</w:t>
      </w:r>
      <w:r>
        <w:t>o</w:t>
      </w:r>
      <w:r w:rsidRPr="004565AA">
        <w:t>ld all results</w:t>
      </w:r>
      <w:r w:rsidR="00B726DE">
        <w:t xml:space="preserve"> and the </w:t>
      </w:r>
      <w:r w:rsidRPr="004565AA">
        <w:t>D</w:t>
      </w:r>
      <w:r w:rsidR="005F4FC1">
        <w:t>ean</w:t>
      </w:r>
      <w:r w:rsidRPr="004565AA">
        <w:t xml:space="preserve"> of Education</w:t>
      </w:r>
      <w:r w:rsidR="00B726DE">
        <w:t xml:space="preserve"> </w:t>
      </w:r>
      <w:r w:rsidRPr="004565AA">
        <w:t>will arrange for another external examiner to</w:t>
      </w:r>
      <w:r w:rsidR="00B726DE">
        <w:t xml:space="preserve"> give an independent view.  </w:t>
      </w:r>
      <w:r w:rsidR="002C101A">
        <w:t xml:space="preserve"> </w:t>
      </w:r>
    </w:p>
    <w:p w:rsidR="00ED1F5A" w:rsidRDefault="00ED1F5A" w:rsidP="00ED1F5A">
      <w:pPr>
        <w:pStyle w:val="CoPborderheading"/>
        <w:rPr>
          <w:rFonts w:hint="eastAsia"/>
        </w:rPr>
      </w:pPr>
      <w:bookmarkStart w:id="12" w:name="_Toc317516554"/>
      <w:bookmarkStart w:id="13" w:name="_Toc393892003"/>
      <w:r>
        <w:t>Reports and Feedback</w:t>
      </w:r>
      <w:bookmarkEnd w:id="12"/>
      <w:bookmarkEnd w:id="13"/>
    </w:p>
    <w:p w:rsidR="009029D5" w:rsidRDefault="002C101A" w:rsidP="009029D5">
      <w:pPr>
        <w:pStyle w:val="CoPNumberlevel1"/>
      </w:pPr>
      <w:r>
        <w:t xml:space="preserve">An </w:t>
      </w:r>
      <w:r w:rsidR="009029D5" w:rsidRPr="004565AA">
        <w:t xml:space="preserve">external examiner </w:t>
      </w:r>
      <w:r>
        <w:t xml:space="preserve">is expected to </w:t>
      </w:r>
      <w:r w:rsidR="009029D5">
        <w:t xml:space="preserve">submit a report within three weeks of the </w:t>
      </w:r>
      <w:r w:rsidR="009029D5" w:rsidRPr="004565AA">
        <w:t>f</w:t>
      </w:r>
      <w:r w:rsidR="009029D5">
        <w:t xml:space="preserve">inal Boards of Examiners.  </w:t>
      </w:r>
      <w:r w:rsidR="009029D5" w:rsidRPr="004565AA">
        <w:t>External examiners in their final year of appointment are expected to include an overview of their experiences as part of their final report.</w:t>
      </w:r>
      <w:r w:rsidR="009029D5">
        <w:t xml:space="preserve">  Reports must not </w:t>
      </w:r>
      <w:r w:rsidR="009029D5" w:rsidRPr="004565AA">
        <w:t xml:space="preserve">refer to </w:t>
      </w:r>
      <w:r w:rsidR="009029D5">
        <w:t>students</w:t>
      </w:r>
      <w:r w:rsidR="009029D5" w:rsidRPr="004565AA">
        <w:t xml:space="preserve"> or staff members by name</w:t>
      </w:r>
      <w:r w:rsidR="009029D5">
        <w:t xml:space="preserve"> or provide any means </w:t>
      </w:r>
      <w:r w:rsidR="008010CA">
        <w:t>of identifying individuals.</w:t>
      </w:r>
    </w:p>
    <w:p w:rsidR="00396DEF" w:rsidRDefault="00396DEF" w:rsidP="009029D5">
      <w:pPr>
        <w:pStyle w:val="CoPNumberlevel1"/>
      </w:pPr>
      <w:r>
        <w:t>External examiners have a right to raise any matter of serious concern with the</w:t>
      </w:r>
      <w:r w:rsidR="00E53285">
        <w:t xml:space="preserve"> Director of LSTM </w:t>
      </w:r>
      <w:r>
        <w:t>by means of a separate confidential report.</w:t>
      </w:r>
    </w:p>
    <w:p w:rsidR="00396DEF" w:rsidRDefault="00396DEF" w:rsidP="009029D5">
      <w:pPr>
        <w:pStyle w:val="CoPNumberlevel1"/>
      </w:pPr>
      <w:r>
        <w:t xml:space="preserve">Where an external examiner expresses a serious concern regarding systemic failings with the academic standards of a programme or programmes, and is not satisfied with the action taken by the Director of LSTM, </w:t>
      </w:r>
      <w:r w:rsidR="00E53285">
        <w:t xml:space="preserve">the examiner </w:t>
      </w:r>
      <w:r>
        <w:t>may invoke the Quality Assurance Agency’s (QAA) concerns scheme, or inform the relevant professional, statutory or regulatory body.</w:t>
      </w:r>
    </w:p>
    <w:p w:rsidR="009672AE" w:rsidRPr="009672AE" w:rsidRDefault="009029D5" w:rsidP="009672AE">
      <w:pPr>
        <w:pStyle w:val="CoPNumberlevel1"/>
        <w:rPr>
          <w:i/>
        </w:rPr>
      </w:pPr>
      <w:r>
        <w:t xml:space="preserve">Reports will be received, responded to and acted on in line with the </w:t>
      </w:r>
      <w:r w:rsidR="009672AE" w:rsidRPr="009672AE">
        <w:rPr>
          <w:i/>
        </w:rPr>
        <w:t>Procedure for responding to the outcomes of the external examining process for taught programmes</w:t>
      </w:r>
      <w:r w:rsidR="009672AE">
        <w:rPr>
          <w:i/>
        </w:rPr>
        <w:t>.</w:t>
      </w:r>
    </w:p>
    <w:p w:rsidR="00D45606" w:rsidRPr="004565AA" w:rsidRDefault="009029D5" w:rsidP="00D45606">
      <w:pPr>
        <w:pStyle w:val="CoPNumberlevel1"/>
      </w:pPr>
      <w:r>
        <w:t>R</w:t>
      </w:r>
      <w:r w:rsidR="00ED1F5A">
        <w:t xml:space="preserve">eports and responses </w:t>
      </w:r>
      <w:r w:rsidR="009E72D6">
        <w:t xml:space="preserve">will be </w:t>
      </w:r>
      <w:r w:rsidR="00ED1F5A">
        <w:t>made available to current students and staff</w:t>
      </w:r>
      <w:r>
        <w:t xml:space="preserve">.  </w:t>
      </w:r>
      <w:r w:rsidR="00ED1F5A" w:rsidRPr="004565AA">
        <w:t>Any</w:t>
      </w:r>
      <w:r w:rsidR="00ED1F5A">
        <w:t xml:space="preserve">one </w:t>
      </w:r>
      <w:r w:rsidR="00ED1F5A" w:rsidRPr="004565AA">
        <w:t>wish</w:t>
      </w:r>
      <w:r w:rsidR="00ED1F5A">
        <w:t xml:space="preserve">ing </w:t>
      </w:r>
      <w:r w:rsidR="00ED1F5A" w:rsidRPr="004565AA">
        <w:t xml:space="preserve">to raise any issues arising from </w:t>
      </w:r>
      <w:r w:rsidR="00ED1F5A">
        <w:t xml:space="preserve">a report or response </w:t>
      </w:r>
      <w:r w:rsidR="009E72D6">
        <w:t xml:space="preserve">will be </w:t>
      </w:r>
      <w:r w:rsidR="00ED1F5A">
        <w:t xml:space="preserve">advised to </w:t>
      </w:r>
      <w:r w:rsidR="00ED1F5A" w:rsidRPr="004565AA">
        <w:t>contact the D</w:t>
      </w:r>
      <w:r w:rsidR="005F4FC1">
        <w:t>ean</w:t>
      </w:r>
      <w:r w:rsidR="00ED1F5A" w:rsidRPr="004565AA">
        <w:t xml:space="preserve"> of Education.</w:t>
      </w:r>
    </w:p>
    <w:p w:rsidR="00ED1F5A" w:rsidRDefault="00ED1F5A" w:rsidP="00ED1F5A">
      <w:pPr>
        <w:pStyle w:val="CoPborderheading"/>
        <w:rPr>
          <w:rFonts w:hint="eastAsia"/>
        </w:rPr>
      </w:pPr>
      <w:bookmarkStart w:id="14" w:name="_Toc317516555"/>
      <w:bookmarkStart w:id="15" w:name="_Toc393892004"/>
      <w:r>
        <w:t>External Examining by LSTM Staff</w:t>
      </w:r>
      <w:bookmarkEnd w:id="14"/>
      <w:bookmarkEnd w:id="15"/>
    </w:p>
    <w:p w:rsidR="00AE15D1" w:rsidRDefault="00ED1F5A" w:rsidP="008010CA">
      <w:pPr>
        <w:pStyle w:val="CoPNumberlevel1"/>
      </w:pPr>
      <w:r w:rsidRPr="004565AA">
        <w:t>The mutual benefit and importance of the work undertaken by LSTM staff as external examiners for other institutions is recognised.  LSTM staff wishing to undertake external examining duties will be supported to do so.</w:t>
      </w:r>
    </w:p>
    <w:p w:rsidR="00E01A1D" w:rsidRDefault="00AE15D1">
      <w:bookmarkStart w:id="16" w:name="_GoBack"/>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E01A1D" w:rsidRPr="00853D2A" w:rsidTr="00F82C92">
        <w:trPr>
          <w:trHeight w:val="397"/>
        </w:trPr>
        <w:tc>
          <w:tcPr>
            <w:tcW w:w="5000" w:type="pct"/>
            <w:gridSpan w:val="3"/>
            <w:shd w:val="clear" w:color="auto" w:fill="E5B8B7" w:themeFill="accent2" w:themeFillTint="66"/>
            <w:vAlign w:val="center"/>
            <w:hideMark/>
          </w:tcPr>
          <w:bookmarkEnd w:id="16"/>
          <w:p w:rsidR="00E01A1D" w:rsidRPr="00805611" w:rsidRDefault="00E01A1D" w:rsidP="00F82C92">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E01A1D" w:rsidRPr="00853D2A" w:rsidTr="00F82C92">
        <w:trPr>
          <w:trHeight w:val="397"/>
        </w:trPr>
        <w:tc>
          <w:tcPr>
            <w:tcW w:w="630" w:type="pct"/>
            <w:vAlign w:val="center"/>
          </w:tcPr>
          <w:p w:rsidR="00E01A1D" w:rsidRPr="00F76F9B" w:rsidRDefault="00E01A1D" w:rsidP="00F82C92">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rsidR="00E01A1D" w:rsidRPr="00F76F9B" w:rsidRDefault="00E01A1D" w:rsidP="00F82C92">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rsidR="00E01A1D" w:rsidRPr="00F76F9B" w:rsidRDefault="00E01A1D" w:rsidP="00F82C92">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E01A1D" w:rsidRPr="00853D2A" w:rsidTr="00F82C92">
        <w:trPr>
          <w:trHeight w:val="397"/>
        </w:trPr>
        <w:tc>
          <w:tcPr>
            <w:tcW w:w="630" w:type="pct"/>
            <w:vAlign w:val="center"/>
          </w:tcPr>
          <w:p w:rsidR="00E01A1D" w:rsidRPr="00805611" w:rsidRDefault="00E01A1D" w:rsidP="00F82C92">
            <w:pPr>
              <w:pStyle w:val="NoSpacing"/>
              <w:spacing w:before="120" w:after="120"/>
              <w:rPr>
                <w:rFonts w:ascii="Arial" w:hAnsi="Arial" w:cs="Arial"/>
              </w:rPr>
            </w:pPr>
            <w:r>
              <w:rPr>
                <w:rFonts w:ascii="Arial" w:hAnsi="Arial" w:cs="Arial"/>
              </w:rPr>
              <w:t>1.1</w:t>
            </w:r>
          </w:p>
        </w:tc>
        <w:tc>
          <w:tcPr>
            <w:tcW w:w="1028" w:type="pct"/>
            <w:vAlign w:val="center"/>
          </w:tcPr>
          <w:p w:rsidR="00E01A1D" w:rsidRPr="00805611" w:rsidRDefault="00E01A1D" w:rsidP="00F82C92">
            <w:pPr>
              <w:pStyle w:val="NoSpacing"/>
              <w:spacing w:before="120" w:after="120"/>
              <w:rPr>
                <w:rFonts w:ascii="Arial" w:hAnsi="Arial" w:cs="Arial"/>
              </w:rPr>
            </w:pPr>
            <w:r>
              <w:rPr>
                <w:rFonts w:ascii="Arial" w:hAnsi="Arial" w:cs="Arial"/>
              </w:rPr>
              <w:t>30.01.15</w:t>
            </w:r>
          </w:p>
        </w:tc>
        <w:tc>
          <w:tcPr>
            <w:tcW w:w="3343" w:type="pct"/>
            <w:vAlign w:val="center"/>
          </w:tcPr>
          <w:p w:rsidR="00E01A1D" w:rsidRPr="00805611" w:rsidRDefault="00E01A1D" w:rsidP="00F82C92">
            <w:pPr>
              <w:pStyle w:val="NoSpacing"/>
              <w:spacing w:before="120" w:after="120"/>
              <w:rPr>
                <w:rFonts w:ascii="Arial" w:hAnsi="Arial" w:cs="Arial"/>
              </w:rPr>
            </w:pPr>
            <w:r>
              <w:rPr>
                <w:rFonts w:ascii="Arial" w:hAnsi="Arial" w:cs="Arial"/>
              </w:rPr>
              <w:t>Minor edits following review by Management Committee 29.07.15</w:t>
            </w:r>
          </w:p>
        </w:tc>
      </w:tr>
      <w:tr w:rsidR="00E01A1D" w:rsidRPr="00853D2A" w:rsidTr="00F82C92">
        <w:trPr>
          <w:trHeight w:val="397"/>
        </w:trPr>
        <w:tc>
          <w:tcPr>
            <w:tcW w:w="630" w:type="pct"/>
            <w:vAlign w:val="center"/>
          </w:tcPr>
          <w:p w:rsidR="00E01A1D" w:rsidRPr="00805611" w:rsidRDefault="00B527D3" w:rsidP="00F82C92">
            <w:pPr>
              <w:pStyle w:val="NoSpacing"/>
              <w:spacing w:before="120" w:after="120"/>
              <w:rPr>
                <w:rFonts w:ascii="Arial" w:hAnsi="Arial" w:cs="Arial"/>
              </w:rPr>
            </w:pPr>
            <w:r>
              <w:rPr>
                <w:rFonts w:ascii="Arial" w:hAnsi="Arial" w:cs="Arial"/>
              </w:rPr>
              <w:t>1.2</w:t>
            </w:r>
          </w:p>
        </w:tc>
        <w:tc>
          <w:tcPr>
            <w:tcW w:w="1028" w:type="pct"/>
            <w:vAlign w:val="center"/>
          </w:tcPr>
          <w:p w:rsidR="00E01A1D" w:rsidRPr="00805611" w:rsidRDefault="00B527D3" w:rsidP="00F82C92">
            <w:pPr>
              <w:pStyle w:val="NoSpacing"/>
              <w:spacing w:before="120" w:after="120"/>
              <w:rPr>
                <w:rFonts w:ascii="Arial" w:hAnsi="Arial" w:cs="Arial"/>
              </w:rPr>
            </w:pPr>
            <w:r>
              <w:rPr>
                <w:rFonts w:ascii="Arial" w:hAnsi="Arial" w:cs="Arial"/>
              </w:rPr>
              <w:t>13.04.15</w:t>
            </w:r>
          </w:p>
        </w:tc>
        <w:tc>
          <w:tcPr>
            <w:tcW w:w="3343" w:type="pct"/>
            <w:vAlign w:val="center"/>
          </w:tcPr>
          <w:p w:rsidR="00E01A1D" w:rsidRPr="00805611" w:rsidRDefault="00B527D3" w:rsidP="00B527D3">
            <w:pPr>
              <w:pStyle w:val="NoSpacing"/>
              <w:spacing w:before="120" w:after="120"/>
              <w:rPr>
                <w:rFonts w:ascii="Arial" w:hAnsi="Arial" w:cs="Arial"/>
              </w:rPr>
            </w:pPr>
            <w:r>
              <w:rPr>
                <w:rFonts w:ascii="Arial" w:hAnsi="Arial" w:cs="Arial"/>
              </w:rPr>
              <w:t xml:space="preserve">Sub-paragraphs 7.2 &amp; 7.3 inserted following </w:t>
            </w:r>
            <w:proofErr w:type="spellStart"/>
            <w:r>
              <w:rPr>
                <w:rFonts w:ascii="Arial" w:hAnsi="Arial" w:cs="Arial"/>
              </w:rPr>
              <w:t>UoL</w:t>
            </w:r>
            <w:proofErr w:type="spellEnd"/>
            <w:r>
              <w:rPr>
                <w:rFonts w:ascii="Arial" w:hAnsi="Arial" w:cs="Arial"/>
              </w:rPr>
              <w:t xml:space="preserve"> accreditation visit on 02.03.15</w:t>
            </w:r>
          </w:p>
        </w:tc>
      </w:tr>
      <w:tr w:rsidR="00E01A1D" w:rsidRPr="00853D2A" w:rsidTr="00F82C92">
        <w:trPr>
          <w:trHeight w:val="397"/>
        </w:trPr>
        <w:tc>
          <w:tcPr>
            <w:tcW w:w="630" w:type="pct"/>
            <w:vAlign w:val="center"/>
          </w:tcPr>
          <w:p w:rsidR="00E01A1D" w:rsidRPr="00805611" w:rsidRDefault="00EB2769" w:rsidP="00F82C92">
            <w:pPr>
              <w:pStyle w:val="NoSpacing"/>
              <w:spacing w:before="120" w:after="120"/>
              <w:rPr>
                <w:rFonts w:ascii="Arial" w:hAnsi="Arial" w:cs="Arial"/>
              </w:rPr>
            </w:pPr>
            <w:r>
              <w:rPr>
                <w:rFonts w:ascii="Arial" w:hAnsi="Arial" w:cs="Arial"/>
              </w:rPr>
              <w:t>2.0</w:t>
            </w:r>
          </w:p>
        </w:tc>
        <w:tc>
          <w:tcPr>
            <w:tcW w:w="1028" w:type="pct"/>
            <w:vAlign w:val="center"/>
          </w:tcPr>
          <w:p w:rsidR="00E01A1D" w:rsidRPr="00805611" w:rsidRDefault="00E01A1D" w:rsidP="00F82C92">
            <w:pPr>
              <w:pStyle w:val="NoSpacing"/>
              <w:spacing w:before="120" w:after="120"/>
              <w:rPr>
                <w:rFonts w:ascii="Arial" w:hAnsi="Arial" w:cs="Arial"/>
              </w:rPr>
            </w:pPr>
          </w:p>
        </w:tc>
        <w:tc>
          <w:tcPr>
            <w:tcW w:w="3343" w:type="pct"/>
            <w:vAlign w:val="center"/>
          </w:tcPr>
          <w:p w:rsidR="00E01A1D" w:rsidRPr="00805611" w:rsidRDefault="00EB2769" w:rsidP="00EB2769">
            <w:pPr>
              <w:pStyle w:val="NoSpacing"/>
              <w:spacing w:before="120" w:after="120"/>
              <w:rPr>
                <w:rFonts w:ascii="Arial" w:hAnsi="Arial" w:cs="Arial"/>
              </w:rPr>
            </w:pPr>
            <w:r>
              <w:rPr>
                <w:rFonts w:ascii="Arial" w:hAnsi="Arial" w:cs="Arial"/>
              </w:rPr>
              <w:t>Change of name of Mitigating Circumstances Committee to Extenuating Circumstances Committee</w:t>
            </w:r>
          </w:p>
        </w:tc>
      </w:tr>
      <w:tr w:rsidR="00E01A1D" w:rsidRPr="00853D2A" w:rsidTr="00F82C92">
        <w:trPr>
          <w:trHeight w:val="397"/>
        </w:trPr>
        <w:tc>
          <w:tcPr>
            <w:tcW w:w="630" w:type="pct"/>
            <w:vAlign w:val="center"/>
          </w:tcPr>
          <w:p w:rsidR="00E01A1D" w:rsidRPr="00805611" w:rsidRDefault="005F4FC1" w:rsidP="00F82C92">
            <w:pPr>
              <w:pStyle w:val="NoSpacing"/>
              <w:spacing w:before="120" w:after="120"/>
              <w:rPr>
                <w:rFonts w:ascii="Arial" w:hAnsi="Arial" w:cs="Arial"/>
              </w:rPr>
            </w:pPr>
            <w:r>
              <w:rPr>
                <w:rFonts w:ascii="Arial" w:hAnsi="Arial" w:cs="Arial"/>
              </w:rPr>
              <w:t>2.1</w:t>
            </w:r>
          </w:p>
        </w:tc>
        <w:tc>
          <w:tcPr>
            <w:tcW w:w="1028" w:type="pct"/>
            <w:vAlign w:val="center"/>
          </w:tcPr>
          <w:p w:rsidR="00E01A1D" w:rsidRPr="00805611" w:rsidRDefault="005F4FC1" w:rsidP="00F82C92">
            <w:pPr>
              <w:pStyle w:val="NoSpacing"/>
              <w:spacing w:before="120" w:after="120"/>
              <w:rPr>
                <w:rFonts w:ascii="Arial" w:hAnsi="Arial" w:cs="Arial"/>
              </w:rPr>
            </w:pPr>
            <w:r>
              <w:rPr>
                <w:rFonts w:ascii="Arial" w:hAnsi="Arial" w:cs="Arial"/>
              </w:rPr>
              <w:t>24.01.19</w:t>
            </w:r>
          </w:p>
        </w:tc>
        <w:tc>
          <w:tcPr>
            <w:tcW w:w="3343" w:type="pct"/>
            <w:vAlign w:val="center"/>
          </w:tcPr>
          <w:p w:rsidR="00E01A1D" w:rsidRPr="00805611" w:rsidRDefault="005F4FC1" w:rsidP="00F82C92">
            <w:pPr>
              <w:pStyle w:val="NoSpacing"/>
              <w:spacing w:before="120" w:after="120"/>
              <w:rPr>
                <w:rFonts w:ascii="Arial" w:hAnsi="Arial" w:cs="Arial"/>
              </w:rPr>
            </w:pPr>
            <w:r>
              <w:rPr>
                <w:rFonts w:ascii="Arial" w:hAnsi="Arial" w:cs="Arial"/>
              </w:rPr>
              <w:t>Replacement of references to Director of Education with Dean of Education</w:t>
            </w:r>
          </w:p>
        </w:tc>
      </w:tr>
      <w:tr w:rsidR="00E01A1D" w:rsidRPr="00853D2A" w:rsidTr="00F82C92">
        <w:trPr>
          <w:trHeight w:val="397"/>
        </w:trPr>
        <w:tc>
          <w:tcPr>
            <w:tcW w:w="630" w:type="pct"/>
            <w:vAlign w:val="center"/>
          </w:tcPr>
          <w:p w:rsidR="00E01A1D" w:rsidRPr="00805611" w:rsidRDefault="00E01A1D" w:rsidP="00F82C92">
            <w:pPr>
              <w:pStyle w:val="NoSpacing"/>
              <w:spacing w:before="120" w:after="120"/>
              <w:rPr>
                <w:rFonts w:ascii="Arial" w:hAnsi="Arial" w:cs="Arial"/>
              </w:rPr>
            </w:pPr>
          </w:p>
        </w:tc>
        <w:tc>
          <w:tcPr>
            <w:tcW w:w="1028" w:type="pct"/>
            <w:vAlign w:val="center"/>
          </w:tcPr>
          <w:p w:rsidR="00E01A1D" w:rsidRPr="00805611" w:rsidRDefault="00E01A1D" w:rsidP="00F82C92">
            <w:pPr>
              <w:pStyle w:val="NoSpacing"/>
              <w:spacing w:before="120" w:after="120"/>
              <w:rPr>
                <w:rFonts w:ascii="Arial" w:hAnsi="Arial" w:cs="Arial"/>
              </w:rPr>
            </w:pPr>
          </w:p>
        </w:tc>
        <w:tc>
          <w:tcPr>
            <w:tcW w:w="3343" w:type="pct"/>
            <w:vAlign w:val="center"/>
          </w:tcPr>
          <w:p w:rsidR="00E01A1D" w:rsidRPr="00805611" w:rsidRDefault="00E01A1D" w:rsidP="00F82C92">
            <w:pPr>
              <w:pStyle w:val="NoSpacing"/>
              <w:spacing w:before="120" w:after="120"/>
              <w:rPr>
                <w:rFonts w:ascii="Arial" w:hAnsi="Arial" w:cs="Arial"/>
              </w:rPr>
            </w:pPr>
          </w:p>
        </w:tc>
      </w:tr>
    </w:tbl>
    <w:p w:rsidR="00AE15D1" w:rsidRDefault="00AE15D1"/>
    <w:sectPr w:rsidR="00AE15D1"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8F" w:rsidRDefault="0067568F" w:rsidP="00E21955">
      <w:pPr>
        <w:spacing w:after="0" w:line="240" w:lineRule="auto"/>
      </w:pPr>
      <w:r>
        <w:separator/>
      </w:r>
    </w:p>
  </w:endnote>
  <w:endnote w:type="continuationSeparator" w:id="0">
    <w:p w:rsidR="0067568F" w:rsidRDefault="0067568F"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FB" w:rsidRDefault="00FD2620" w:rsidP="00CA5861">
    <w:pPr>
      <w:pStyle w:val="Footer"/>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EB2769">
      <w:rPr>
        <w:rFonts w:ascii="Arial" w:hAnsi="Arial" w:cs="Arial"/>
        <w:sz w:val="16"/>
        <w:szCs w:val="16"/>
      </w:rPr>
      <w:t>2.</w:t>
    </w:r>
    <w:r w:rsidR="00FD2620">
      <w:rPr>
        <w:rFonts w:ascii="Arial" w:hAnsi="Arial" w:cs="Arial"/>
        <w:sz w:val="16"/>
        <w:szCs w:val="16"/>
      </w:rPr>
      <w:t>1</w:t>
    </w:r>
  </w:p>
  <w:p w:rsidR="005709FB" w:rsidRPr="007E0F79" w:rsidRDefault="005709FB" w:rsidP="00CA5861">
    <w:pPr>
      <w:pStyle w:val="Default"/>
      <w:rPr>
        <w:sz w:val="16"/>
        <w:szCs w:val="16"/>
      </w:rPr>
    </w:pPr>
    <w:r>
      <w:rPr>
        <w:sz w:val="16"/>
        <w:szCs w:val="16"/>
      </w:rPr>
      <w:t xml:space="preserve">Code of Practice on </w:t>
    </w:r>
    <w:r w:rsidR="007864B8" w:rsidRPr="007864B8">
      <w:rPr>
        <w:sz w:val="16"/>
        <w:szCs w:val="16"/>
      </w:rPr>
      <w:t>External Examining of Taught Programmes</w:t>
    </w:r>
  </w:p>
  <w:p w:rsidR="005709FB" w:rsidRPr="00AC7F89" w:rsidRDefault="007B0E08"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FD2620">
      <w:rPr>
        <w:rFonts w:ascii="Arial" w:hAnsi="Arial" w:cs="Arial"/>
        <w:color w:val="000000"/>
        <w:sz w:val="16"/>
        <w:szCs w:val="16"/>
      </w:rPr>
      <w:t xml:space="preserve"> 1.2.19</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D94303">
          <w:rPr>
            <w:rFonts w:ascii="Arial" w:hAnsi="Arial" w:cs="Arial"/>
            <w:noProof/>
            <w:sz w:val="16"/>
            <w:szCs w:val="16"/>
          </w:rPr>
          <w:t>9</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D94303">
          <w:rPr>
            <w:rFonts w:ascii="Arial" w:hAnsi="Arial" w:cs="Arial"/>
            <w:noProof/>
            <w:sz w:val="16"/>
            <w:szCs w:val="16"/>
          </w:rPr>
          <w:t>9</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8F" w:rsidRDefault="0067568F" w:rsidP="00E21955">
      <w:pPr>
        <w:spacing w:after="0" w:line="240" w:lineRule="auto"/>
      </w:pPr>
      <w:r>
        <w:separator/>
      </w:r>
    </w:p>
  </w:footnote>
  <w:footnote w:type="continuationSeparator" w:id="0">
    <w:p w:rsidR="0067568F" w:rsidRDefault="0067568F"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24F2A6BA"/>
    <w:lvl w:ilvl="0" w:tplc="B6B6EE72">
      <w:numFmt w:val="bullet"/>
      <w:pStyle w:val="CoPbullet"/>
      <w:lvlText w:val="•"/>
      <w:lvlJc w:val="left"/>
      <w:pPr>
        <w:ind w:left="720" w:hanging="360"/>
      </w:pPr>
      <w:rPr>
        <w:rFonts w:ascii="Arial" w:eastAsia="Arial" w:hAnsi="Arial" w:hint="default"/>
        <w:color w:val="231F20"/>
        <w:w w:val="1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6"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500FF"/>
    <w:multiLevelType w:val="multilevel"/>
    <w:tmpl w:val="8D08F870"/>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1277" w:hanging="567"/>
      </w:pPr>
      <w:rPr>
        <w:rFonts w:ascii="Arial" w:hAnsi="Arial" w:hint="default"/>
        <w:i w:val="0"/>
        <w:spacing w:val="0"/>
        <w:sz w:val="22"/>
      </w:rPr>
    </w:lvl>
    <w:lvl w:ilvl="2">
      <w:start w:val="1"/>
      <w:numFmt w:val="decimal"/>
      <w:pStyle w:val="CoPNumberlevel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7"/>
  </w:num>
  <w:num w:numId="3">
    <w:abstractNumId w:val="13"/>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20"/>
  </w:num>
  <w:num w:numId="21">
    <w:abstractNumId w:val="11"/>
  </w:num>
  <w:num w:numId="22">
    <w:abstractNumId w:val="17"/>
  </w:num>
  <w:num w:numId="23">
    <w:abstractNumId w:val="21"/>
  </w:num>
  <w:num w:numId="24">
    <w:abstractNumId w:val="18"/>
  </w:num>
  <w:num w:numId="25">
    <w:abstractNumId w:val="26"/>
  </w:num>
  <w:num w:numId="26">
    <w:abstractNumId w:val="14"/>
  </w:num>
  <w:num w:numId="27">
    <w:abstractNumId w:val="22"/>
  </w:num>
  <w:num w:numId="28">
    <w:abstractNumId w:val="16"/>
  </w:num>
  <w:num w:numId="29">
    <w:abstractNumId w:val="23"/>
  </w:num>
  <w:num w:numId="30">
    <w:abstractNumId w:val="12"/>
  </w:num>
  <w:num w:numId="31">
    <w:abstractNumId w:val="2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1790B"/>
    <w:rsid w:val="00025E4F"/>
    <w:rsid w:val="00034B7F"/>
    <w:rsid w:val="000406D1"/>
    <w:rsid w:val="00054E1B"/>
    <w:rsid w:val="00063E00"/>
    <w:rsid w:val="00080E11"/>
    <w:rsid w:val="00084650"/>
    <w:rsid w:val="00093ACE"/>
    <w:rsid w:val="000964AF"/>
    <w:rsid w:val="00097C03"/>
    <w:rsid w:val="000B3F85"/>
    <w:rsid w:val="000C31EB"/>
    <w:rsid w:val="000D0506"/>
    <w:rsid w:val="000D5CE3"/>
    <w:rsid w:val="000D7265"/>
    <w:rsid w:val="000E03EC"/>
    <w:rsid w:val="000F6406"/>
    <w:rsid w:val="00111CE8"/>
    <w:rsid w:val="00130D0E"/>
    <w:rsid w:val="00132F50"/>
    <w:rsid w:val="00141FBA"/>
    <w:rsid w:val="00143707"/>
    <w:rsid w:val="00143DB8"/>
    <w:rsid w:val="001471C6"/>
    <w:rsid w:val="00151302"/>
    <w:rsid w:val="001536BF"/>
    <w:rsid w:val="00164DC8"/>
    <w:rsid w:val="00176069"/>
    <w:rsid w:val="00177BE0"/>
    <w:rsid w:val="00185C41"/>
    <w:rsid w:val="00196210"/>
    <w:rsid w:val="001A046A"/>
    <w:rsid w:val="001B05D9"/>
    <w:rsid w:val="001B3D26"/>
    <w:rsid w:val="001C361E"/>
    <w:rsid w:val="001E7FE3"/>
    <w:rsid w:val="001F34CD"/>
    <w:rsid w:val="0020508F"/>
    <w:rsid w:val="00212A09"/>
    <w:rsid w:val="002162FB"/>
    <w:rsid w:val="002168F4"/>
    <w:rsid w:val="0023410E"/>
    <w:rsid w:val="00254AE6"/>
    <w:rsid w:val="002555C8"/>
    <w:rsid w:val="00273A05"/>
    <w:rsid w:val="00276B97"/>
    <w:rsid w:val="0028170C"/>
    <w:rsid w:val="00285202"/>
    <w:rsid w:val="002A2C51"/>
    <w:rsid w:val="002B160C"/>
    <w:rsid w:val="002B64D3"/>
    <w:rsid w:val="002C101A"/>
    <w:rsid w:val="002C2D7F"/>
    <w:rsid w:val="002C4751"/>
    <w:rsid w:val="002C7E71"/>
    <w:rsid w:val="002D3179"/>
    <w:rsid w:val="002E5C2F"/>
    <w:rsid w:val="002E6B50"/>
    <w:rsid w:val="002F1D52"/>
    <w:rsid w:val="002F663B"/>
    <w:rsid w:val="002F73D7"/>
    <w:rsid w:val="00314FED"/>
    <w:rsid w:val="00315094"/>
    <w:rsid w:val="0032454A"/>
    <w:rsid w:val="0033564F"/>
    <w:rsid w:val="00340EE0"/>
    <w:rsid w:val="003451D3"/>
    <w:rsid w:val="00347D48"/>
    <w:rsid w:val="0035302D"/>
    <w:rsid w:val="003608E2"/>
    <w:rsid w:val="003773EF"/>
    <w:rsid w:val="00384F14"/>
    <w:rsid w:val="00396DEF"/>
    <w:rsid w:val="00397BDB"/>
    <w:rsid w:val="003C05BC"/>
    <w:rsid w:val="003C5E2D"/>
    <w:rsid w:val="003D4273"/>
    <w:rsid w:val="003E328F"/>
    <w:rsid w:val="003E5663"/>
    <w:rsid w:val="0042383C"/>
    <w:rsid w:val="004250EE"/>
    <w:rsid w:val="00432753"/>
    <w:rsid w:val="00440CAA"/>
    <w:rsid w:val="00452881"/>
    <w:rsid w:val="004578E1"/>
    <w:rsid w:val="00481740"/>
    <w:rsid w:val="00482D75"/>
    <w:rsid w:val="004A6EE4"/>
    <w:rsid w:val="004B5C73"/>
    <w:rsid w:val="004B602A"/>
    <w:rsid w:val="004D0A9E"/>
    <w:rsid w:val="004E42D6"/>
    <w:rsid w:val="005030D6"/>
    <w:rsid w:val="005121B5"/>
    <w:rsid w:val="00521FC0"/>
    <w:rsid w:val="00524EB3"/>
    <w:rsid w:val="00546972"/>
    <w:rsid w:val="0055578F"/>
    <w:rsid w:val="005575D9"/>
    <w:rsid w:val="00560E9E"/>
    <w:rsid w:val="00564B29"/>
    <w:rsid w:val="005709FB"/>
    <w:rsid w:val="0057702A"/>
    <w:rsid w:val="00587D46"/>
    <w:rsid w:val="005A0E8C"/>
    <w:rsid w:val="005C7B3B"/>
    <w:rsid w:val="005E0570"/>
    <w:rsid w:val="005E6CE6"/>
    <w:rsid w:val="005E7A45"/>
    <w:rsid w:val="005F4FC1"/>
    <w:rsid w:val="006113B5"/>
    <w:rsid w:val="00611736"/>
    <w:rsid w:val="00627DB8"/>
    <w:rsid w:val="00631080"/>
    <w:rsid w:val="006372F3"/>
    <w:rsid w:val="00662AC8"/>
    <w:rsid w:val="006707CC"/>
    <w:rsid w:val="0067281F"/>
    <w:rsid w:val="0067544D"/>
    <w:rsid w:val="0067568F"/>
    <w:rsid w:val="00677250"/>
    <w:rsid w:val="006910E1"/>
    <w:rsid w:val="00692B99"/>
    <w:rsid w:val="006D3DD5"/>
    <w:rsid w:val="006E23DD"/>
    <w:rsid w:val="006E6266"/>
    <w:rsid w:val="00702214"/>
    <w:rsid w:val="0070301E"/>
    <w:rsid w:val="00724BBC"/>
    <w:rsid w:val="007306DA"/>
    <w:rsid w:val="00752CEA"/>
    <w:rsid w:val="007550DB"/>
    <w:rsid w:val="007569D7"/>
    <w:rsid w:val="007826FE"/>
    <w:rsid w:val="00784DD2"/>
    <w:rsid w:val="007864B8"/>
    <w:rsid w:val="007876BC"/>
    <w:rsid w:val="007A30E4"/>
    <w:rsid w:val="007B0E08"/>
    <w:rsid w:val="007B1C5B"/>
    <w:rsid w:val="007D067D"/>
    <w:rsid w:val="007E21FE"/>
    <w:rsid w:val="007E31E1"/>
    <w:rsid w:val="008010CA"/>
    <w:rsid w:val="008044CD"/>
    <w:rsid w:val="00805611"/>
    <w:rsid w:val="00815CD2"/>
    <w:rsid w:val="008313BA"/>
    <w:rsid w:val="008442A6"/>
    <w:rsid w:val="00846190"/>
    <w:rsid w:val="00846FB2"/>
    <w:rsid w:val="0084788E"/>
    <w:rsid w:val="00853D2A"/>
    <w:rsid w:val="008630EF"/>
    <w:rsid w:val="00876075"/>
    <w:rsid w:val="008A1BBE"/>
    <w:rsid w:val="008A267E"/>
    <w:rsid w:val="008A7588"/>
    <w:rsid w:val="008B6CFC"/>
    <w:rsid w:val="008E3E61"/>
    <w:rsid w:val="008F6960"/>
    <w:rsid w:val="009029D5"/>
    <w:rsid w:val="0090725D"/>
    <w:rsid w:val="00915038"/>
    <w:rsid w:val="00920550"/>
    <w:rsid w:val="0092740C"/>
    <w:rsid w:val="009423E3"/>
    <w:rsid w:val="00943441"/>
    <w:rsid w:val="00966547"/>
    <w:rsid w:val="009672AE"/>
    <w:rsid w:val="00974334"/>
    <w:rsid w:val="00981629"/>
    <w:rsid w:val="0098423E"/>
    <w:rsid w:val="009873CE"/>
    <w:rsid w:val="0099600C"/>
    <w:rsid w:val="009A02C5"/>
    <w:rsid w:val="009B10B3"/>
    <w:rsid w:val="009B62E2"/>
    <w:rsid w:val="009D1568"/>
    <w:rsid w:val="009D2E67"/>
    <w:rsid w:val="009D72B1"/>
    <w:rsid w:val="009E4D81"/>
    <w:rsid w:val="009E72D6"/>
    <w:rsid w:val="009F24BF"/>
    <w:rsid w:val="00A00166"/>
    <w:rsid w:val="00A123C5"/>
    <w:rsid w:val="00A40FD7"/>
    <w:rsid w:val="00A456D2"/>
    <w:rsid w:val="00A708BF"/>
    <w:rsid w:val="00A85A11"/>
    <w:rsid w:val="00A85ACD"/>
    <w:rsid w:val="00A85B07"/>
    <w:rsid w:val="00A91F8A"/>
    <w:rsid w:val="00A9402C"/>
    <w:rsid w:val="00A96C21"/>
    <w:rsid w:val="00A97BF3"/>
    <w:rsid w:val="00AB7772"/>
    <w:rsid w:val="00AD0B66"/>
    <w:rsid w:val="00AD446E"/>
    <w:rsid w:val="00AD5BB5"/>
    <w:rsid w:val="00AE15D1"/>
    <w:rsid w:val="00AE4F1A"/>
    <w:rsid w:val="00AE7468"/>
    <w:rsid w:val="00AF57E6"/>
    <w:rsid w:val="00B05355"/>
    <w:rsid w:val="00B17C8A"/>
    <w:rsid w:val="00B313B4"/>
    <w:rsid w:val="00B34036"/>
    <w:rsid w:val="00B34628"/>
    <w:rsid w:val="00B368F1"/>
    <w:rsid w:val="00B438A5"/>
    <w:rsid w:val="00B527D3"/>
    <w:rsid w:val="00B726DE"/>
    <w:rsid w:val="00B819BE"/>
    <w:rsid w:val="00B81A46"/>
    <w:rsid w:val="00B93797"/>
    <w:rsid w:val="00BA0B6B"/>
    <w:rsid w:val="00BB2003"/>
    <w:rsid w:val="00BB3562"/>
    <w:rsid w:val="00BB7E56"/>
    <w:rsid w:val="00BC4E98"/>
    <w:rsid w:val="00BE74D0"/>
    <w:rsid w:val="00BE79EA"/>
    <w:rsid w:val="00C0017B"/>
    <w:rsid w:val="00C001F3"/>
    <w:rsid w:val="00C040BE"/>
    <w:rsid w:val="00C11613"/>
    <w:rsid w:val="00C2005B"/>
    <w:rsid w:val="00C356B9"/>
    <w:rsid w:val="00C616E1"/>
    <w:rsid w:val="00C64B92"/>
    <w:rsid w:val="00C659A9"/>
    <w:rsid w:val="00C7558A"/>
    <w:rsid w:val="00C8024F"/>
    <w:rsid w:val="00C828AE"/>
    <w:rsid w:val="00C91E32"/>
    <w:rsid w:val="00C922ED"/>
    <w:rsid w:val="00C934D2"/>
    <w:rsid w:val="00CA2CD7"/>
    <w:rsid w:val="00CA33D3"/>
    <w:rsid w:val="00CA5861"/>
    <w:rsid w:val="00D23717"/>
    <w:rsid w:val="00D35BAE"/>
    <w:rsid w:val="00D4060F"/>
    <w:rsid w:val="00D43202"/>
    <w:rsid w:val="00D45606"/>
    <w:rsid w:val="00D47BFE"/>
    <w:rsid w:val="00D55889"/>
    <w:rsid w:val="00D5711A"/>
    <w:rsid w:val="00D6697B"/>
    <w:rsid w:val="00D806D7"/>
    <w:rsid w:val="00D94303"/>
    <w:rsid w:val="00DA34D4"/>
    <w:rsid w:val="00DB06B6"/>
    <w:rsid w:val="00DB0CD9"/>
    <w:rsid w:val="00DB0EE7"/>
    <w:rsid w:val="00DC5F0B"/>
    <w:rsid w:val="00DD4890"/>
    <w:rsid w:val="00DE1BD1"/>
    <w:rsid w:val="00DE2B7E"/>
    <w:rsid w:val="00DE3B53"/>
    <w:rsid w:val="00DF0C7F"/>
    <w:rsid w:val="00DF6889"/>
    <w:rsid w:val="00E01A1D"/>
    <w:rsid w:val="00E02DF0"/>
    <w:rsid w:val="00E03F1F"/>
    <w:rsid w:val="00E06115"/>
    <w:rsid w:val="00E061A5"/>
    <w:rsid w:val="00E16DC4"/>
    <w:rsid w:val="00E21955"/>
    <w:rsid w:val="00E2635D"/>
    <w:rsid w:val="00E329F0"/>
    <w:rsid w:val="00E434E9"/>
    <w:rsid w:val="00E43E6B"/>
    <w:rsid w:val="00E53285"/>
    <w:rsid w:val="00E565B9"/>
    <w:rsid w:val="00E61E3F"/>
    <w:rsid w:val="00E84CDC"/>
    <w:rsid w:val="00E860D7"/>
    <w:rsid w:val="00E92B0F"/>
    <w:rsid w:val="00EA6BBC"/>
    <w:rsid w:val="00EB19C8"/>
    <w:rsid w:val="00EB2769"/>
    <w:rsid w:val="00EC2C7C"/>
    <w:rsid w:val="00ED1585"/>
    <w:rsid w:val="00ED1F5A"/>
    <w:rsid w:val="00ED4A53"/>
    <w:rsid w:val="00F00E87"/>
    <w:rsid w:val="00F05987"/>
    <w:rsid w:val="00F2189C"/>
    <w:rsid w:val="00F22E6A"/>
    <w:rsid w:val="00F30E62"/>
    <w:rsid w:val="00F55604"/>
    <w:rsid w:val="00F67C52"/>
    <w:rsid w:val="00F70E21"/>
    <w:rsid w:val="00F71102"/>
    <w:rsid w:val="00F93752"/>
    <w:rsid w:val="00FA091E"/>
    <w:rsid w:val="00FA77A8"/>
    <w:rsid w:val="00FC5ABB"/>
    <w:rsid w:val="00FD2620"/>
    <w:rsid w:val="00FD7516"/>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2D6E2C0"/>
  <w15:docId w15:val="{BAE28C1B-1C1B-4E92-AD3C-9AEEB06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A85ACD"/>
    <w:pPr>
      <w:keepNext w:val="0"/>
      <w:keepLines w:val="0"/>
      <w:numPr>
        <w:numId w:val="0"/>
      </w:numPr>
      <w:pBdr>
        <w:top w:val="none" w:sz="0" w:space="0" w:color="auto"/>
        <w:bottom w:val="none" w:sz="0" w:space="0" w:color="auto"/>
      </w:pBdr>
      <w:tabs>
        <w:tab w:val="left" w:pos="567"/>
        <w:tab w:val="left" w:pos="8647"/>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2"/>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846FB2"/>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numPr>
        <w:numId w:val="38"/>
      </w:num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numPr>
        <w:ilvl w:val="0"/>
        <w:numId w:val="0"/>
      </w:num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numPr>
        <w:ilvl w:val="1"/>
        <w:numId w:val="24"/>
      </w:numPr>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link w:val="Style2Char"/>
    <w:qFormat/>
    <w:rsid w:val="00662AC8"/>
    <w:pPr>
      <w:numPr>
        <w:ilvl w:val="2"/>
        <w:numId w:val="24"/>
      </w:numPr>
    </w:pPr>
  </w:style>
  <w:style w:type="paragraph" w:styleId="TOC3">
    <w:name w:val="toc 3"/>
    <w:basedOn w:val="CoPNumberlevel2"/>
    <w:next w:val="Normal"/>
    <w:autoRedefine/>
    <w:uiPriority w:val="39"/>
    <w:unhideWhenUsed/>
    <w:rsid w:val="00662AC8"/>
    <w:pPr>
      <w:numPr>
        <w:ilvl w:val="0"/>
        <w:numId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846FB2"/>
    <w:pPr>
      <w:spacing w:before="240" w:after="120"/>
      <w:ind w:left="680" w:hanging="680"/>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character" w:customStyle="1" w:styleId="Style2Char">
    <w:name w:val="Style2 Char"/>
    <w:basedOn w:val="Style1Char"/>
    <w:link w:val="Style2"/>
    <w:rsid w:val="007864B8"/>
    <w:rPr>
      <w:rFonts w:ascii="Arial" w:hAnsi="Arial" w:cs="Arial"/>
      <w:sz w:val="20"/>
      <w:szCs w:val="20"/>
    </w:rPr>
  </w:style>
  <w:style w:type="paragraph" w:customStyle="1" w:styleId="CoPheading">
    <w:name w:val="CoP heading"/>
    <w:basedOn w:val="Normal"/>
    <w:autoRedefine/>
    <w:qFormat/>
    <w:rsid w:val="007864B8"/>
    <w:pPr>
      <w:keepNext/>
      <w:pBdr>
        <w:top w:val="single" w:sz="4" w:space="9" w:color="943634" w:themeColor="accent2" w:themeShade="BF"/>
        <w:bottom w:val="single" w:sz="4" w:space="9" w:color="943634" w:themeColor="accent2" w:themeShade="BF"/>
      </w:pBdr>
      <w:autoSpaceDE w:val="0"/>
      <w:autoSpaceDN w:val="0"/>
      <w:adjustRightInd w:val="0"/>
      <w:spacing w:before="480" w:after="120" w:line="240" w:lineRule="auto"/>
      <w:ind w:left="357" w:hanging="357"/>
      <w:jc w:val="both"/>
    </w:pPr>
    <w:rPr>
      <w:rFonts w:ascii="Arial" w:hAnsi="Arial" w:cs="Arial"/>
      <w:b/>
      <w:bCs/>
      <w:color w:val="943634" w:themeColor="accent2" w:themeShade="BF"/>
      <w:sz w:val="24"/>
      <w:szCs w:val="24"/>
    </w:rPr>
  </w:style>
  <w:style w:type="paragraph" w:customStyle="1" w:styleId="Style3">
    <w:name w:val="Style3"/>
    <w:basedOn w:val="Normal"/>
    <w:link w:val="Style3Char"/>
    <w:qFormat/>
    <w:rsid w:val="007864B8"/>
    <w:pPr>
      <w:autoSpaceDE w:val="0"/>
      <w:autoSpaceDN w:val="0"/>
      <w:adjustRightInd w:val="0"/>
      <w:spacing w:before="120"/>
      <w:ind w:left="709" w:hanging="709"/>
      <w:jc w:val="both"/>
    </w:pPr>
    <w:rPr>
      <w:rFonts w:ascii="Arial" w:hAnsi="Arial" w:cs="Arial"/>
      <w:color w:val="000000"/>
    </w:rPr>
  </w:style>
  <w:style w:type="paragraph" w:customStyle="1" w:styleId="Style4">
    <w:name w:val="Style4"/>
    <w:basedOn w:val="Style3"/>
    <w:link w:val="Style4Char"/>
    <w:qFormat/>
    <w:rsid w:val="007864B8"/>
    <w:pPr>
      <w:ind w:left="1077" w:hanging="368"/>
    </w:pPr>
  </w:style>
  <w:style w:type="character" w:customStyle="1" w:styleId="Style3Char">
    <w:name w:val="Style3 Char"/>
    <w:basedOn w:val="DefaultParagraphFont"/>
    <w:link w:val="Style3"/>
    <w:rsid w:val="007864B8"/>
    <w:rPr>
      <w:rFonts w:ascii="Arial" w:hAnsi="Arial" w:cs="Arial"/>
      <w:color w:val="000000"/>
    </w:rPr>
  </w:style>
  <w:style w:type="character" w:customStyle="1" w:styleId="Style4Char">
    <w:name w:val="Style4 Char"/>
    <w:basedOn w:val="Style3Char"/>
    <w:link w:val="Style4"/>
    <w:rsid w:val="007864B8"/>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B869-1070-4904-9DD2-F0517E6A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7</TotalTime>
  <Pages>9</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jfisher</dc:creator>
  <cp:lastModifiedBy>Ruth Pollard</cp:lastModifiedBy>
  <cp:revision>3</cp:revision>
  <cp:lastPrinted>2017-10-27T15:47:00Z</cp:lastPrinted>
  <dcterms:created xsi:type="dcterms:W3CDTF">2019-01-24T16:40:00Z</dcterms:created>
  <dcterms:modified xsi:type="dcterms:W3CDTF">2019-01-29T15:10:00Z</dcterms:modified>
</cp:coreProperties>
</file>