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57" w:type="pct"/>
        <w:jc w:val="center"/>
        <w:tblLook w:val="04A0" w:firstRow="1" w:lastRow="0" w:firstColumn="1" w:lastColumn="0" w:noHBand="0" w:noVBand="1"/>
      </w:tblPr>
      <w:tblGrid>
        <w:gridCol w:w="9288"/>
      </w:tblGrid>
      <w:tr w:rsidR="00ED4A53" w:rsidTr="003F3483">
        <w:trPr>
          <w:trHeight w:val="1984"/>
          <w:jc w:val="center"/>
        </w:trPr>
        <w:tc>
          <w:tcPr>
            <w:tcW w:w="5000" w:type="pct"/>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853D2A" w:rsidRDefault="00853D2A" w:rsidP="00CA5861">
            <w:r>
              <w:rPr>
                <w:noProof/>
              </w:rPr>
              <w:drawing>
                <wp:anchor distT="0" distB="0" distL="114300" distR="114300" simplePos="0" relativeHeight="251659264" behindDoc="0" locked="0" layoutInCell="1" allowOverlap="1" wp14:anchorId="28161537" wp14:editId="7238A051">
                  <wp:simplePos x="0" y="0"/>
                  <wp:positionH relativeFrom="margin">
                    <wp:posOffset>4336415</wp:posOffset>
                  </wp:positionH>
                  <wp:positionV relativeFrom="margin">
                    <wp:posOffset>102870</wp:posOffset>
                  </wp:positionV>
                  <wp:extent cx="1396958" cy="1080000"/>
                  <wp:effectExtent l="0" t="0" r="0" b="6350"/>
                  <wp:wrapNone/>
                  <wp:docPr id="1" name="Picture 1" descr="small LSTM%203%20colour%20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STM%203%20colour%20positive.jpg"/>
                          <pic:cNvPicPr/>
                        </pic:nvPicPr>
                        <pic:blipFill>
                          <a:blip r:embed="rId8"/>
                          <a:stretch>
                            <a:fillRect/>
                          </a:stretch>
                        </pic:blipFill>
                        <pic:spPr>
                          <a:xfrm>
                            <a:off x="0" y="0"/>
                            <a:ext cx="1396958" cy="1080000"/>
                          </a:xfrm>
                          <a:prstGeom prst="rect">
                            <a:avLst/>
                          </a:prstGeom>
                        </pic:spPr>
                      </pic:pic>
                    </a:graphicData>
                  </a:graphic>
                  <wp14:sizeRelH relativeFrom="margin">
                    <wp14:pctWidth>0</wp14:pctWidth>
                  </wp14:sizeRelH>
                  <wp14:sizeRelV relativeFrom="margin">
                    <wp14:pctHeight>0</wp14:pctHeight>
                  </wp14:sizeRelV>
                </wp:anchor>
              </w:drawing>
            </w:r>
          </w:p>
          <w:p w:rsidR="00853D2A" w:rsidRDefault="00853D2A" w:rsidP="00853D2A"/>
          <w:p w:rsidR="00C001F3" w:rsidRPr="00C001F3" w:rsidRDefault="00853D2A" w:rsidP="00853D2A">
            <w:pPr>
              <w:tabs>
                <w:tab w:val="left" w:pos="8205"/>
              </w:tabs>
              <w:rPr>
                <w:b/>
              </w:rPr>
            </w:pPr>
            <w:r>
              <w:tab/>
            </w:r>
          </w:p>
          <w:p w:rsidR="00ED4A53" w:rsidRPr="00C001F3" w:rsidRDefault="00C001F3" w:rsidP="00C001F3">
            <w:pPr>
              <w:tabs>
                <w:tab w:val="left" w:pos="7095"/>
              </w:tabs>
            </w:pPr>
            <w:r>
              <w:tab/>
            </w:r>
          </w:p>
        </w:tc>
      </w:tr>
      <w:tr w:rsidR="00ED4A53" w:rsidTr="00680749">
        <w:trPr>
          <w:trHeight w:val="4252"/>
          <w:jc w:val="center"/>
        </w:trPr>
        <w:tc>
          <w:tcPr>
            <w:tcW w:w="5000" w:type="pct"/>
            <w:tcBorders>
              <w:top w:val="single" w:sz="4" w:space="0" w:color="943634" w:themeColor="accent2" w:themeShade="BF"/>
              <w:bottom w:val="single" w:sz="4" w:space="0" w:color="943634" w:themeColor="accent2" w:themeShade="BF"/>
            </w:tcBorders>
            <w:vAlign w:val="center"/>
          </w:tcPr>
          <w:p w:rsidR="00680749" w:rsidRPr="001439DC" w:rsidRDefault="00C659A9" w:rsidP="00680749">
            <w:pPr>
              <w:pBdr>
                <w:bottom w:val="single" w:sz="4" w:space="1" w:color="auto"/>
              </w:pBdr>
              <w:rPr>
                <w:rFonts w:ascii="Arial" w:eastAsia="Times New Roman" w:hAnsi="Arial" w:cs="Arial"/>
                <w:b/>
                <w:sz w:val="64"/>
                <w:szCs w:val="64"/>
              </w:rPr>
            </w:pPr>
            <w:r w:rsidRPr="001439DC">
              <w:rPr>
                <w:rFonts w:ascii="Arial" w:eastAsia="Times New Roman" w:hAnsi="Arial" w:cs="Arial"/>
                <w:b/>
                <w:sz w:val="64"/>
                <w:szCs w:val="64"/>
              </w:rPr>
              <w:t xml:space="preserve">Code of Practice on </w:t>
            </w:r>
            <w:r w:rsidR="00680749" w:rsidRPr="001439DC">
              <w:rPr>
                <w:rFonts w:ascii="Arial" w:eastAsia="Times New Roman" w:hAnsi="Arial" w:cs="Arial"/>
                <w:b/>
                <w:sz w:val="64"/>
                <w:szCs w:val="64"/>
              </w:rPr>
              <w:t>Student Engagement and Enhancing the Student Experience</w:t>
            </w:r>
          </w:p>
          <w:p w:rsidR="00ED4A53" w:rsidRPr="00680749" w:rsidRDefault="00ED4A53" w:rsidP="007569D7">
            <w:pPr>
              <w:pStyle w:val="NoSpacing"/>
              <w:spacing w:before="240" w:after="240"/>
              <w:rPr>
                <w:rFonts w:ascii="Arial" w:eastAsia="Times New Roman" w:hAnsi="Arial" w:cs="Arial"/>
                <w:sz w:val="20"/>
                <w:szCs w:val="20"/>
              </w:rPr>
            </w:pPr>
          </w:p>
        </w:tc>
      </w:tr>
      <w:tr w:rsidR="00ED4A53" w:rsidTr="00680749">
        <w:trPr>
          <w:trHeight w:val="307"/>
          <w:jc w:val="center"/>
        </w:trPr>
        <w:tc>
          <w:tcPr>
            <w:tcW w:w="5000" w:type="pct"/>
            <w:tcBorders>
              <w:top w:val="single" w:sz="4" w:space="0" w:color="943634" w:themeColor="accent2" w:themeShade="BF"/>
              <w:bottom w:val="single" w:sz="6" w:space="0" w:color="943634" w:themeColor="accent2" w:themeShade="BF"/>
            </w:tcBorders>
            <w:vAlign w:val="center"/>
          </w:tcPr>
          <w:p w:rsidR="00ED4A53" w:rsidRPr="00680749" w:rsidRDefault="00ED4A53" w:rsidP="00680749">
            <w:pPr>
              <w:pStyle w:val="NoSpacing"/>
              <w:jc w:val="center"/>
              <w:rPr>
                <w:rFonts w:ascii="Arial" w:eastAsia="Times New Roman" w:hAnsi="Arial" w:cs="Arial"/>
                <w:b/>
              </w:rPr>
            </w:pPr>
          </w:p>
        </w:tc>
      </w:tr>
      <w:tr w:rsidR="00ED4A53" w:rsidTr="00805611">
        <w:trPr>
          <w:trHeight w:val="3786"/>
          <w:jc w:val="center"/>
        </w:trPr>
        <w:tc>
          <w:tcPr>
            <w:tcW w:w="5000" w:type="pct"/>
            <w:tcBorders>
              <w:top w:val="single" w:sz="6" w:space="0" w:color="943634" w:themeColor="accent2" w:themeShade="BF"/>
              <w:bottom w:val="single" w:sz="6" w:space="0" w:color="943634" w:themeColor="accent2" w:themeShade="BF"/>
            </w:tcBorders>
            <w:vAlign w:val="center"/>
          </w:tcPr>
          <w:tbl>
            <w:tblPr>
              <w:tblpPr w:leftFromText="181" w:rightFromText="181" w:horzAnchor="margin" w:tblpXSpec="center" w:tblpYSpec="bottom"/>
              <w:tblOverlap w:val="neve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279"/>
              <w:gridCol w:w="4745"/>
            </w:tblGrid>
            <w:tr w:rsidR="00AF57E6" w:rsidRPr="004C4556" w:rsidTr="00805611">
              <w:trPr>
                <w:trHeight w:val="397"/>
              </w:trPr>
              <w:tc>
                <w:tcPr>
                  <w:tcW w:w="2371" w:type="pct"/>
                  <w:vAlign w:val="center"/>
                  <w:hideMark/>
                </w:tcPr>
                <w:p w:rsidR="00AF57E6" w:rsidRPr="00805611" w:rsidRDefault="00AF57E6" w:rsidP="00AF57E6">
                  <w:pPr>
                    <w:pStyle w:val="NoSpacing"/>
                    <w:spacing w:before="120" w:after="120"/>
                    <w:rPr>
                      <w:rFonts w:ascii="Arial" w:hAnsi="Arial" w:cs="Arial"/>
                      <w:b/>
                    </w:rPr>
                  </w:pPr>
                  <w:r w:rsidRPr="00805611">
                    <w:rPr>
                      <w:rFonts w:ascii="Arial" w:hAnsi="Arial" w:cs="Arial"/>
                      <w:b/>
                    </w:rPr>
                    <w:t>Code of Practice number</w:t>
                  </w:r>
                </w:p>
              </w:tc>
              <w:tc>
                <w:tcPr>
                  <w:tcW w:w="2629" w:type="pct"/>
                  <w:vAlign w:val="center"/>
                  <w:hideMark/>
                </w:tcPr>
                <w:p w:rsidR="00AF57E6" w:rsidRPr="00805611" w:rsidRDefault="00BB0BE5" w:rsidP="00AF57E6">
                  <w:pPr>
                    <w:pStyle w:val="NoSpacing"/>
                    <w:spacing w:before="120" w:after="120"/>
                    <w:rPr>
                      <w:rFonts w:ascii="Arial" w:hAnsi="Arial" w:cs="Arial"/>
                    </w:rPr>
                  </w:pPr>
                  <w:r>
                    <w:rPr>
                      <w:rFonts w:ascii="Arial" w:hAnsi="Arial" w:cs="Arial"/>
                    </w:rPr>
                    <w:t>LT CO</w:t>
                  </w:r>
                  <w:r w:rsidR="00DC2FBD">
                    <w:rPr>
                      <w:rFonts w:ascii="Arial" w:hAnsi="Arial" w:cs="Arial"/>
                    </w:rPr>
                    <w:t>P 004</w:t>
                  </w:r>
                </w:p>
              </w:tc>
            </w:tr>
            <w:tr w:rsidR="00AF57E6" w:rsidRPr="004C4556" w:rsidTr="00805611">
              <w:trPr>
                <w:trHeight w:val="397"/>
              </w:trPr>
              <w:tc>
                <w:tcPr>
                  <w:tcW w:w="2371" w:type="pct"/>
                  <w:vAlign w:val="center"/>
                </w:tcPr>
                <w:p w:rsidR="00AF57E6" w:rsidRPr="00805611" w:rsidRDefault="00AF57E6" w:rsidP="00AF57E6">
                  <w:pPr>
                    <w:pStyle w:val="NoSpacing"/>
                    <w:spacing w:before="120" w:after="120"/>
                    <w:rPr>
                      <w:rFonts w:ascii="Arial" w:hAnsi="Arial" w:cs="Arial"/>
                      <w:b/>
                    </w:rPr>
                  </w:pPr>
                  <w:r w:rsidRPr="00805611">
                    <w:rPr>
                      <w:rFonts w:ascii="Arial" w:hAnsi="Arial" w:cs="Arial"/>
                      <w:b/>
                    </w:rPr>
                    <w:t>Version:</w:t>
                  </w:r>
                </w:p>
              </w:tc>
              <w:tc>
                <w:tcPr>
                  <w:tcW w:w="2629" w:type="pct"/>
                  <w:vAlign w:val="center"/>
                </w:tcPr>
                <w:p w:rsidR="00AF57E6" w:rsidRPr="00805611" w:rsidRDefault="002B0DC3" w:rsidP="00AF57E6">
                  <w:pPr>
                    <w:pStyle w:val="NoSpacing"/>
                    <w:spacing w:before="120" w:after="120"/>
                    <w:rPr>
                      <w:rFonts w:ascii="Arial" w:hAnsi="Arial" w:cs="Arial"/>
                    </w:rPr>
                  </w:pPr>
                  <w:r>
                    <w:rPr>
                      <w:rFonts w:ascii="Arial" w:hAnsi="Arial" w:cs="Arial"/>
                    </w:rPr>
                    <w:t>2.</w:t>
                  </w:r>
                  <w:r w:rsidR="00CE00B4">
                    <w:rPr>
                      <w:rFonts w:ascii="Arial" w:hAnsi="Arial" w:cs="Arial"/>
                    </w:rPr>
                    <w:t>1</w:t>
                  </w:r>
                </w:p>
              </w:tc>
            </w:tr>
            <w:tr w:rsidR="00AF57E6" w:rsidRPr="004C4556" w:rsidTr="00805611">
              <w:trPr>
                <w:trHeight w:val="397"/>
              </w:trPr>
              <w:tc>
                <w:tcPr>
                  <w:tcW w:w="2371" w:type="pct"/>
                  <w:vAlign w:val="center"/>
                </w:tcPr>
                <w:p w:rsidR="00AF57E6" w:rsidRPr="00805611" w:rsidRDefault="00AF57E6" w:rsidP="00AF57E6">
                  <w:pPr>
                    <w:pStyle w:val="NoSpacing"/>
                    <w:spacing w:before="120" w:after="120"/>
                    <w:rPr>
                      <w:rFonts w:ascii="Arial" w:hAnsi="Arial" w:cs="Arial"/>
                      <w:b/>
                    </w:rPr>
                  </w:pPr>
                  <w:r w:rsidRPr="00805611">
                    <w:rPr>
                      <w:rFonts w:ascii="Arial" w:hAnsi="Arial" w:cs="Arial"/>
                      <w:b/>
                      <w:bCs/>
                      <w:lang w:eastAsia="en-GB"/>
                    </w:rPr>
                    <w:t>Superseded Version:</w:t>
                  </w:r>
                </w:p>
              </w:tc>
              <w:tc>
                <w:tcPr>
                  <w:tcW w:w="2629" w:type="pct"/>
                  <w:vAlign w:val="center"/>
                </w:tcPr>
                <w:p w:rsidR="00AF57E6" w:rsidRPr="00805611" w:rsidRDefault="00CE00B4" w:rsidP="002B0DC3">
                  <w:pPr>
                    <w:pStyle w:val="NoSpacing"/>
                    <w:spacing w:before="120" w:after="120"/>
                    <w:rPr>
                      <w:rFonts w:ascii="Arial" w:hAnsi="Arial" w:cs="Arial"/>
                    </w:rPr>
                  </w:pPr>
                  <w:r>
                    <w:rPr>
                      <w:rFonts w:ascii="Arial" w:hAnsi="Arial" w:cs="Arial"/>
                    </w:rPr>
                    <w:t>2.0</w:t>
                  </w:r>
                </w:p>
              </w:tc>
            </w:tr>
            <w:tr w:rsidR="00AF57E6" w:rsidRPr="004C4556" w:rsidTr="00805611">
              <w:trPr>
                <w:trHeight w:val="397"/>
              </w:trPr>
              <w:tc>
                <w:tcPr>
                  <w:tcW w:w="2371" w:type="pct"/>
                  <w:vAlign w:val="center"/>
                </w:tcPr>
                <w:p w:rsidR="00AF57E6" w:rsidRPr="00805611" w:rsidRDefault="00AF57E6" w:rsidP="00AF57E6">
                  <w:pPr>
                    <w:pStyle w:val="NoSpacing"/>
                    <w:spacing w:before="120" w:after="120"/>
                    <w:rPr>
                      <w:rFonts w:ascii="Arial" w:hAnsi="Arial" w:cs="Arial"/>
                      <w:b/>
                    </w:rPr>
                  </w:pPr>
                  <w:r w:rsidRPr="00805611">
                    <w:rPr>
                      <w:rFonts w:ascii="Arial" w:hAnsi="Arial" w:cs="Arial"/>
                      <w:b/>
                    </w:rPr>
                    <w:t>Date approved by Management Committee</w:t>
                  </w:r>
                </w:p>
              </w:tc>
              <w:tc>
                <w:tcPr>
                  <w:tcW w:w="2629" w:type="pct"/>
                  <w:vAlign w:val="center"/>
                </w:tcPr>
                <w:p w:rsidR="00AF57E6" w:rsidRPr="00805611" w:rsidRDefault="00BB0BE5" w:rsidP="001809FB">
                  <w:pPr>
                    <w:pStyle w:val="NoSpacing"/>
                    <w:spacing w:before="120" w:after="120"/>
                    <w:rPr>
                      <w:rFonts w:ascii="Arial" w:hAnsi="Arial" w:cs="Arial"/>
                    </w:rPr>
                  </w:pPr>
                  <w:r>
                    <w:rPr>
                      <w:rFonts w:ascii="Arial" w:hAnsi="Arial" w:cs="Arial"/>
                    </w:rPr>
                    <w:t xml:space="preserve">V </w:t>
                  </w:r>
                  <w:r w:rsidR="001809FB">
                    <w:rPr>
                      <w:rFonts w:ascii="Arial" w:hAnsi="Arial" w:cs="Arial"/>
                    </w:rPr>
                    <w:t>1.0</w:t>
                  </w:r>
                  <w:r>
                    <w:rPr>
                      <w:rFonts w:ascii="Arial" w:hAnsi="Arial" w:cs="Arial"/>
                    </w:rPr>
                    <w:t xml:space="preserve"> approved </w:t>
                  </w:r>
                  <w:r w:rsidR="001809FB">
                    <w:rPr>
                      <w:rFonts w:ascii="Arial" w:hAnsi="Arial" w:cs="Arial"/>
                    </w:rPr>
                    <w:t>by Management Committee 29.07.14</w:t>
                  </w:r>
                </w:p>
              </w:tc>
            </w:tr>
            <w:tr w:rsidR="00AF57E6" w:rsidRPr="004C4556" w:rsidTr="00805611">
              <w:trPr>
                <w:trHeight w:val="397"/>
              </w:trPr>
              <w:tc>
                <w:tcPr>
                  <w:tcW w:w="2371" w:type="pct"/>
                  <w:vAlign w:val="center"/>
                </w:tcPr>
                <w:p w:rsidR="00AF57E6" w:rsidRPr="00805611" w:rsidRDefault="00AF57E6" w:rsidP="00AF57E6">
                  <w:pPr>
                    <w:pStyle w:val="NoSpacing"/>
                    <w:spacing w:before="120" w:after="120"/>
                    <w:rPr>
                      <w:rFonts w:ascii="Arial" w:hAnsi="Arial" w:cs="Arial"/>
                      <w:b/>
                      <w:bCs/>
                      <w:lang w:eastAsia="en-GB"/>
                    </w:rPr>
                  </w:pPr>
                  <w:r w:rsidRPr="00805611">
                    <w:rPr>
                      <w:rFonts w:ascii="Arial" w:hAnsi="Arial" w:cs="Arial"/>
                      <w:b/>
                      <w:bCs/>
                      <w:lang w:eastAsia="en-GB"/>
                    </w:rPr>
                    <w:t>Originator</w:t>
                  </w:r>
                </w:p>
              </w:tc>
              <w:tc>
                <w:tcPr>
                  <w:tcW w:w="2629" w:type="pct"/>
                  <w:vAlign w:val="center"/>
                </w:tcPr>
                <w:p w:rsidR="00AF57E6" w:rsidRPr="00805611" w:rsidRDefault="00AF57E6" w:rsidP="00AF57E6">
                  <w:pPr>
                    <w:pStyle w:val="NoSpacing"/>
                    <w:spacing w:before="120" w:after="120"/>
                    <w:rPr>
                      <w:rFonts w:ascii="Arial" w:hAnsi="Arial" w:cs="Arial"/>
                    </w:rPr>
                  </w:pPr>
                  <w:r w:rsidRPr="00805611">
                    <w:rPr>
                      <w:rFonts w:ascii="Arial" w:hAnsi="Arial" w:cs="Arial"/>
                    </w:rPr>
                    <w:t>Academic Registrar</w:t>
                  </w:r>
                </w:p>
              </w:tc>
            </w:tr>
            <w:tr w:rsidR="00AF57E6" w:rsidRPr="004C4556" w:rsidTr="00805611">
              <w:trPr>
                <w:trHeight w:val="397"/>
              </w:trPr>
              <w:tc>
                <w:tcPr>
                  <w:tcW w:w="2371" w:type="pct"/>
                  <w:vAlign w:val="center"/>
                </w:tcPr>
                <w:p w:rsidR="00AF57E6" w:rsidRPr="00805611" w:rsidRDefault="00AF57E6" w:rsidP="00AF57E6">
                  <w:pPr>
                    <w:pStyle w:val="NoSpacing"/>
                    <w:spacing w:before="120" w:after="120"/>
                    <w:rPr>
                      <w:rFonts w:ascii="Arial" w:hAnsi="Arial" w:cs="Arial"/>
                      <w:b/>
                    </w:rPr>
                  </w:pPr>
                  <w:r w:rsidRPr="00805611">
                    <w:rPr>
                      <w:rFonts w:ascii="Arial" w:hAnsi="Arial" w:cs="Arial"/>
                      <w:b/>
                    </w:rPr>
                    <w:t>Date for Review:</w:t>
                  </w:r>
                </w:p>
              </w:tc>
              <w:tc>
                <w:tcPr>
                  <w:tcW w:w="2629" w:type="pct"/>
                  <w:vAlign w:val="center"/>
                </w:tcPr>
                <w:p w:rsidR="00AF57E6" w:rsidRPr="00805611" w:rsidRDefault="00BB0BE5" w:rsidP="002B0DC3">
                  <w:pPr>
                    <w:pStyle w:val="NoSpacing"/>
                    <w:spacing w:before="120" w:after="120"/>
                    <w:rPr>
                      <w:rFonts w:ascii="Arial" w:hAnsi="Arial" w:cs="Arial"/>
                    </w:rPr>
                  </w:pPr>
                  <w:r>
                    <w:rPr>
                      <w:rFonts w:ascii="Arial" w:hAnsi="Arial" w:cs="Arial"/>
                    </w:rPr>
                    <w:t>J</w:t>
                  </w:r>
                  <w:r w:rsidR="00E90991">
                    <w:rPr>
                      <w:rFonts w:ascii="Arial" w:hAnsi="Arial" w:cs="Arial"/>
                    </w:rPr>
                    <w:t xml:space="preserve">uly </w:t>
                  </w:r>
                  <w:r>
                    <w:rPr>
                      <w:rFonts w:ascii="Arial" w:hAnsi="Arial" w:cs="Arial"/>
                    </w:rPr>
                    <w:t>201</w:t>
                  </w:r>
                  <w:r w:rsidR="00725CB0">
                    <w:rPr>
                      <w:rFonts w:ascii="Arial" w:hAnsi="Arial" w:cs="Arial"/>
                    </w:rPr>
                    <w:t>9</w:t>
                  </w:r>
                </w:p>
              </w:tc>
            </w:tr>
          </w:tbl>
          <w:p w:rsidR="00ED4A53" w:rsidRPr="004C4556" w:rsidRDefault="00ED4A53" w:rsidP="00CA5861">
            <w:pPr>
              <w:pStyle w:val="NoSpacing"/>
              <w:ind w:right="-166"/>
              <w:jc w:val="center"/>
              <w:rPr>
                <w:rFonts w:ascii="Arial" w:hAnsi="Arial" w:cs="Arial"/>
                <w:b/>
                <w:bCs/>
              </w:rPr>
            </w:pPr>
          </w:p>
        </w:tc>
      </w:tr>
      <w:tr w:rsidR="00ED4A53" w:rsidTr="00805611">
        <w:trPr>
          <w:trHeight w:val="3245"/>
          <w:jc w:val="center"/>
        </w:trPr>
        <w:tc>
          <w:tcPr>
            <w:tcW w:w="5000" w:type="pct"/>
            <w:tcBorders>
              <w:top w:val="single" w:sz="6" w:space="0" w:color="943634" w:themeColor="accent2" w:themeShade="BF"/>
              <w:bottom w:val="single" w:sz="6" w:space="0" w:color="943634" w:themeColor="accent2" w:themeShade="BF"/>
            </w:tcBorders>
          </w:tcPr>
          <w:tbl>
            <w:tblPr>
              <w:tblpPr w:leftFromText="181" w:rightFromText="181" w:vertAnchor="page" w:horzAnchor="margin" w:tblpY="181"/>
              <w:tblOverlap w:val="neve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279"/>
              <w:gridCol w:w="4745"/>
            </w:tblGrid>
            <w:tr w:rsidR="00805611" w:rsidRPr="00853D2A" w:rsidTr="00805611">
              <w:trPr>
                <w:trHeight w:val="397"/>
              </w:trPr>
              <w:tc>
                <w:tcPr>
                  <w:tcW w:w="5000" w:type="pct"/>
                  <w:gridSpan w:val="2"/>
                  <w:shd w:val="clear" w:color="auto" w:fill="E5B8B7" w:themeFill="accent2" w:themeFillTint="66"/>
                  <w:vAlign w:val="center"/>
                  <w:hideMark/>
                </w:tcPr>
                <w:p w:rsidR="00805611" w:rsidRPr="00805611" w:rsidRDefault="00805611" w:rsidP="00805611">
                  <w:pPr>
                    <w:pStyle w:val="NoSpacing"/>
                    <w:spacing w:before="120" w:after="120"/>
                    <w:rPr>
                      <w:rFonts w:ascii="Arial" w:hAnsi="Arial" w:cs="Arial"/>
                      <w:b/>
                      <w:sz w:val="24"/>
                      <w:szCs w:val="24"/>
                    </w:rPr>
                  </w:pPr>
                  <w:r w:rsidRPr="00805611">
                    <w:rPr>
                      <w:rFonts w:ascii="Arial" w:hAnsi="Arial" w:cs="Arial"/>
                      <w:b/>
                      <w:sz w:val="24"/>
                      <w:szCs w:val="24"/>
                    </w:rPr>
                    <w:t>Target Audience</w:t>
                  </w:r>
                </w:p>
              </w:tc>
            </w:tr>
            <w:tr w:rsidR="00805611" w:rsidRPr="00853D2A" w:rsidTr="005B391F">
              <w:trPr>
                <w:trHeight w:val="397"/>
              </w:trPr>
              <w:tc>
                <w:tcPr>
                  <w:tcW w:w="2371" w:type="pct"/>
                  <w:vAlign w:val="center"/>
                </w:tcPr>
                <w:p w:rsidR="00805611" w:rsidRPr="00805611" w:rsidRDefault="00805611" w:rsidP="00805611">
                  <w:pPr>
                    <w:pStyle w:val="NoSpacing"/>
                    <w:spacing w:before="120" w:after="120"/>
                    <w:rPr>
                      <w:rFonts w:ascii="Arial" w:hAnsi="Arial" w:cs="Arial"/>
                    </w:rPr>
                  </w:pPr>
                  <w:r w:rsidRPr="00805611">
                    <w:rPr>
                      <w:rFonts w:ascii="Arial" w:hAnsi="Arial" w:cs="Arial"/>
                    </w:rPr>
                    <w:t xml:space="preserve">People who need </w:t>
                  </w:r>
                  <w:r>
                    <w:rPr>
                      <w:rFonts w:ascii="Arial" w:hAnsi="Arial" w:cs="Arial"/>
                    </w:rPr>
                    <w:t>a detailed knowledge of the Co</w:t>
                  </w:r>
                  <w:r w:rsidR="00875752">
                    <w:rPr>
                      <w:rFonts w:ascii="Arial" w:hAnsi="Arial" w:cs="Arial"/>
                    </w:rPr>
                    <w:t xml:space="preserve">de of </w:t>
                  </w:r>
                  <w:r>
                    <w:rPr>
                      <w:rFonts w:ascii="Arial" w:hAnsi="Arial" w:cs="Arial"/>
                    </w:rPr>
                    <w:t>P</w:t>
                  </w:r>
                  <w:r w:rsidR="00875752">
                    <w:rPr>
                      <w:rFonts w:ascii="Arial" w:hAnsi="Arial" w:cs="Arial"/>
                    </w:rPr>
                    <w:t>ractice</w:t>
                  </w:r>
                </w:p>
              </w:tc>
              <w:tc>
                <w:tcPr>
                  <w:tcW w:w="2629" w:type="pct"/>
                  <w:vAlign w:val="center"/>
                </w:tcPr>
                <w:p w:rsidR="00805611" w:rsidRPr="00805611" w:rsidRDefault="00B11C69" w:rsidP="005B391F">
                  <w:pPr>
                    <w:pStyle w:val="NoSpacing"/>
                    <w:spacing w:before="120" w:after="120"/>
                    <w:rPr>
                      <w:rFonts w:ascii="Arial" w:hAnsi="Arial" w:cs="Arial"/>
                    </w:rPr>
                  </w:pPr>
                  <w:r>
                    <w:rPr>
                      <w:rFonts w:ascii="Arial" w:hAnsi="Arial" w:cs="Arial"/>
                    </w:rPr>
                    <w:t>D</w:t>
                  </w:r>
                  <w:r w:rsidR="00CE00B4">
                    <w:rPr>
                      <w:rFonts w:ascii="Arial" w:hAnsi="Arial" w:cs="Arial"/>
                    </w:rPr>
                    <w:t>ean</w:t>
                  </w:r>
                  <w:r>
                    <w:rPr>
                      <w:rFonts w:ascii="Arial" w:hAnsi="Arial" w:cs="Arial"/>
                    </w:rPr>
                    <w:t xml:space="preserve"> of Education; </w:t>
                  </w:r>
                  <w:r w:rsidR="00F6711B">
                    <w:rPr>
                      <w:rFonts w:ascii="Arial" w:hAnsi="Arial" w:cs="Arial"/>
                    </w:rPr>
                    <w:t xml:space="preserve">Student Representatives; Directors of Studies; Student Experience Officer; </w:t>
                  </w:r>
                  <w:r w:rsidR="00194A26">
                    <w:rPr>
                      <w:rFonts w:ascii="Arial" w:hAnsi="Arial" w:cs="Arial"/>
                    </w:rPr>
                    <w:t xml:space="preserve">Early Career </w:t>
                  </w:r>
                  <w:r w:rsidR="00F6711B">
                    <w:rPr>
                      <w:rFonts w:ascii="Arial" w:hAnsi="Arial" w:cs="Arial"/>
                    </w:rPr>
                    <w:t>Research</w:t>
                  </w:r>
                  <w:r w:rsidR="00194A26">
                    <w:rPr>
                      <w:rFonts w:ascii="Arial" w:hAnsi="Arial" w:cs="Arial"/>
                    </w:rPr>
                    <w:t>er Support Unit</w:t>
                  </w:r>
                  <w:r w:rsidR="00F6711B">
                    <w:rPr>
                      <w:rFonts w:ascii="Arial" w:hAnsi="Arial" w:cs="Arial"/>
                    </w:rPr>
                    <w:t xml:space="preserve">; Academic Registrar </w:t>
                  </w:r>
                </w:p>
              </w:tc>
            </w:tr>
            <w:tr w:rsidR="00805611" w:rsidRPr="00853D2A" w:rsidTr="005B391F">
              <w:trPr>
                <w:trHeight w:val="397"/>
              </w:trPr>
              <w:tc>
                <w:tcPr>
                  <w:tcW w:w="2371" w:type="pct"/>
                  <w:vAlign w:val="center"/>
                </w:tcPr>
                <w:p w:rsidR="00805611" w:rsidRPr="00805611" w:rsidRDefault="00805611" w:rsidP="00875752">
                  <w:pPr>
                    <w:pStyle w:val="NoSpacing"/>
                    <w:spacing w:before="120" w:after="120"/>
                    <w:rPr>
                      <w:rFonts w:ascii="Arial" w:hAnsi="Arial" w:cs="Arial"/>
                    </w:rPr>
                  </w:pPr>
                  <w:r w:rsidRPr="00805611">
                    <w:rPr>
                      <w:rFonts w:ascii="Arial" w:hAnsi="Arial" w:cs="Arial"/>
                    </w:rPr>
                    <w:t xml:space="preserve">People who need a broad understanding of </w:t>
                  </w:r>
                  <w:r>
                    <w:rPr>
                      <w:rFonts w:ascii="Arial" w:hAnsi="Arial" w:cs="Arial"/>
                    </w:rPr>
                    <w:t xml:space="preserve">the </w:t>
                  </w:r>
                  <w:r w:rsidR="00875752">
                    <w:rPr>
                      <w:rFonts w:ascii="Arial" w:hAnsi="Arial" w:cs="Arial"/>
                    </w:rPr>
                    <w:t xml:space="preserve">Code of Practice </w:t>
                  </w:r>
                </w:p>
              </w:tc>
              <w:tc>
                <w:tcPr>
                  <w:tcW w:w="2629" w:type="pct"/>
                  <w:vAlign w:val="center"/>
                </w:tcPr>
                <w:p w:rsidR="00805611" w:rsidRPr="00805611" w:rsidRDefault="00F6711B" w:rsidP="005B391F">
                  <w:pPr>
                    <w:pStyle w:val="NoSpacing"/>
                    <w:spacing w:before="120" w:after="120"/>
                    <w:rPr>
                      <w:rFonts w:ascii="Arial" w:hAnsi="Arial" w:cs="Arial"/>
                    </w:rPr>
                  </w:pPr>
                  <w:r>
                    <w:rPr>
                      <w:rFonts w:ascii="Arial" w:hAnsi="Arial" w:cs="Arial"/>
                    </w:rPr>
                    <w:t>Members of Boards of Studies</w:t>
                  </w:r>
                  <w:r w:rsidR="005B391F">
                    <w:rPr>
                      <w:rFonts w:ascii="Arial" w:hAnsi="Arial" w:cs="Arial"/>
                    </w:rPr>
                    <w:t xml:space="preserve">; Staff in the Education </w:t>
                  </w:r>
                  <w:r w:rsidR="00194A26">
                    <w:rPr>
                      <w:rFonts w:ascii="Arial" w:hAnsi="Arial" w:cs="Arial"/>
                    </w:rPr>
                    <w:t>Department</w:t>
                  </w:r>
                  <w:r w:rsidR="003F3483">
                    <w:rPr>
                      <w:rFonts w:ascii="Arial" w:hAnsi="Arial" w:cs="Arial"/>
                    </w:rPr>
                    <w:t>; Students</w:t>
                  </w:r>
                  <w:r w:rsidR="005B391F">
                    <w:rPr>
                      <w:rFonts w:ascii="Arial" w:hAnsi="Arial" w:cs="Arial"/>
                    </w:rPr>
                    <w:t xml:space="preserve"> </w:t>
                  </w:r>
                </w:p>
              </w:tc>
            </w:tr>
            <w:tr w:rsidR="00805611" w:rsidRPr="00853D2A" w:rsidTr="005B391F">
              <w:trPr>
                <w:trHeight w:val="397"/>
              </w:trPr>
              <w:tc>
                <w:tcPr>
                  <w:tcW w:w="2371" w:type="pct"/>
                  <w:vAlign w:val="center"/>
                </w:tcPr>
                <w:p w:rsidR="00805611" w:rsidRPr="00805611" w:rsidRDefault="00805611" w:rsidP="00805611">
                  <w:pPr>
                    <w:pStyle w:val="NoSpacing"/>
                    <w:spacing w:before="120" w:after="120"/>
                    <w:rPr>
                      <w:rFonts w:ascii="Arial" w:hAnsi="Arial" w:cs="Arial"/>
                    </w:rPr>
                  </w:pPr>
                  <w:r w:rsidRPr="00805611">
                    <w:rPr>
                      <w:rFonts w:ascii="Arial" w:hAnsi="Arial" w:cs="Arial"/>
                    </w:rPr>
                    <w:t xml:space="preserve">People who need to know that </w:t>
                  </w:r>
                  <w:r>
                    <w:rPr>
                      <w:rFonts w:ascii="Arial" w:hAnsi="Arial" w:cs="Arial"/>
                    </w:rPr>
                    <w:t xml:space="preserve">the </w:t>
                  </w:r>
                  <w:r w:rsidR="00875752">
                    <w:rPr>
                      <w:rFonts w:ascii="Arial" w:hAnsi="Arial" w:cs="Arial"/>
                    </w:rPr>
                    <w:t>Code of Practice</w:t>
                  </w:r>
                  <w:r>
                    <w:rPr>
                      <w:rFonts w:ascii="Arial" w:hAnsi="Arial" w:cs="Arial"/>
                    </w:rPr>
                    <w:t xml:space="preserve"> </w:t>
                  </w:r>
                  <w:r w:rsidRPr="00805611">
                    <w:rPr>
                      <w:rFonts w:ascii="Arial" w:hAnsi="Arial" w:cs="Arial"/>
                    </w:rPr>
                    <w:t>exists</w:t>
                  </w:r>
                </w:p>
              </w:tc>
              <w:tc>
                <w:tcPr>
                  <w:tcW w:w="2629" w:type="pct"/>
                  <w:vAlign w:val="center"/>
                </w:tcPr>
                <w:p w:rsidR="00805611" w:rsidRPr="00805611" w:rsidRDefault="00B11C69" w:rsidP="005B391F">
                  <w:pPr>
                    <w:pStyle w:val="NoSpacing"/>
                    <w:spacing w:before="120" w:after="120"/>
                    <w:rPr>
                      <w:rFonts w:ascii="Arial" w:hAnsi="Arial" w:cs="Arial"/>
                    </w:rPr>
                  </w:pPr>
                  <w:r>
                    <w:rPr>
                      <w:rFonts w:ascii="Arial" w:hAnsi="Arial" w:cs="Arial"/>
                    </w:rPr>
                    <w:t>A</w:t>
                  </w:r>
                  <w:r w:rsidR="005B391F">
                    <w:rPr>
                      <w:rFonts w:ascii="Arial" w:hAnsi="Arial" w:cs="Arial"/>
                    </w:rPr>
                    <w:t>cademic staff</w:t>
                  </w:r>
                </w:p>
              </w:tc>
            </w:tr>
          </w:tbl>
          <w:p w:rsidR="00805611" w:rsidRPr="00853D2A" w:rsidRDefault="00805611" w:rsidP="00805611">
            <w:pPr>
              <w:pStyle w:val="NoSpacing"/>
              <w:rPr>
                <w:rFonts w:ascii="Arial" w:hAnsi="Arial" w:cs="Arial"/>
                <w:sz w:val="20"/>
              </w:rPr>
            </w:pPr>
          </w:p>
        </w:tc>
      </w:tr>
    </w:tbl>
    <w:p w:rsidR="00876075" w:rsidRPr="00876075" w:rsidRDefault="00ED4A53" w:rsidP="00E21955">
      <w:pPr>
        <w:pStyle w:val="HeadingListStyle"/>
        <w:keepNext/>
        <w:numPr>
          <w:ilvl w:val="0"/>
          <w:numId w:val="0"/>
        </w:numPr>
        <w:pBdr>
          <w:top w:val="single" w:sz="4" w:space="9" w:color="943634" w:themeColor="accent2" w:themeShade="BF"/>
          <w:bottom w:val="single" w:sz="4" w:space="9" w:color="943634" w:themeColor="accent2" w:themeShade="BF"/>
        </w:pBdr>
        <w:spacing w:before="360" w:line="276" w:lineRule="auto"/>
        <w:contextualSpacing w:val="0"/>
        <w:rPr>
          <w:color w:val="943634" w:themeColor="accent2" w:themeShade="BF"/>
          <w:sz w:val="32"/>
          <w:szCs w:val="32"/>
          <w:u w:val="none"/>
        </w:rPr>
      </w:pPr>
      <w:r>
        <w:br w:type="page"/>
      </w:r>
      <w:bookmarkStart w:id="0" w:name="_GoBack"/>
      <w:bookmarkEnd w:id="0"/>
      <w:r w:rsidRPr="00876075">
        <w:rPr>
          <w:color w:val="943634" w:themeColor="accent2" w:themeShade="BF"/>
          <w:sz w:val="32"/>
          <w:szCs w:val="32"/>
          <w:u w:val="none"/>
        </w:rPr>
        <w:lastRenderedPageBreak/>
        <w:t>Contents</w:t>
      </w:r>
    </w:p>
    <w:p w:rsidR="00F016CD" w:rsidRDefault="008754FB">
      <w:pPr>
        <w:pStyle w:val="TOC1"/>
        <w:rPr>
          <w:rFonts w:asciiTheme="minorHAnsi" w:hAnsiTheme="minorHAnsi" w:cstheme="minorBidi"/>
          <w:bCs w:val="0"/>
          <w:sz w:val="22"/>
          <w:szCs w:val="22"/>
          <w:lang w:eastAsia="zh-CN"/>
        </w:rPr>
      </w:pPr>
      <w:r w:rsidRPr="008754FB">
        <w:fldChar w:fldCharType="begin"/>
      </w:r>
      <w:r w:rsidRPr="008754FB">
        <w:instrText xml:space="preserve"> TOC \o "1-3" \h \z \t "CoP border heading,1,CoP v2 Heading,2,CoP SubHead,3" </w:instrText>
      </w:r>
      <w:r w:rsidRPr="008754FB">
        <w:fldChar w:fldCharType="separate"/>
      </w:r>
      <w:hyperlink w:anchor="_Toc393890373" w:history="1">
        <w:r w:rsidR="00F016CD" w:rsidRPr="00ED0699">
          <w:rPr>
            <w:rStyle w:val="Hyperlink"/>
          </w:rPr>
          <w:t>1</w:t>
        </w:r>
        <w:r w:rsidR="00F016CD">
          <w:rPr>
            <w:rFonts w:asciiTheme="minorHAnsi" w:hAnsiTheme="minorHAnsi" w:cstheme="minorBidi"/>
            <w:bCs w:val="0"/>
            <w:sz w:val="22"/>
            <w:szCs w:val="22"/>
            <w:lang w:eastAsia="zh-CN"/>
          </w:rPr>
          <w:tab/>
        </w:r>
        <w:r w:rsidR="00F016CD" w:rsidRPr="00ED0699">
          <w:rPr>
            <w:rStyle w:val="Hyperlink"/>
          </w:rPr>
          <w:t>Introduction and Context</w:t>
        </w:r>
        <w:r w:rsidR="00F016CD">
          <w:rPr>
            <w:webHidden/>
          </w:rPr>
          <w:tab/>
        </w:r>
        <w:r w:rsidR="00F016CD">
          <w:rPr>
            <w:webHidden/>
          </w:rPr>
          <w:fldChar w:fldCharType="begin"/>
        </w:r>
        <w:r w:rsidR="00F016CD">
          <w:rPr>
            <w:webHidden/>
          </w:rPr>
          <w:instrText xml:space="preserve"> PAGEREF _Toc393890373 \h </w:instrText>
        </w:r>
        <w:r w:rsidR="00F016CD">
          <w:rPr>
            <w:webHidden/>
          </w:rPr>
        </w:r>
        <w:r w:rsidR="00F016CD">
          <w:rPr>
            <w:webHidden/>
          </w:rPr>
          <w:fldChar w:fldCharType="separate"/>
        </w:r>
        <w:r w:rsidR="004418C6">
          <w:rPr>
            <w:webHidden/>
          </w:rPr>
          <w:t>3</w:t>
        </w:r>
        <w:r w:rsidR="00F016CD">
          <w:rPr>
            <w:webHidden/>
          </w:rPr>
          <w:fldChar w:fldCharType="end"/>
        </w:r>
      </w:hyperlink>
    </w:p>
    <w:p w:rsidR="00F016CD" w:rsidRDefault="00992A11">
      <w:pPr>
        <w:pStyle w:val="TOC1"/>
        <w:rPr>
          <w:rFonts w:asciiTheme="minorHAnsi" w:hAnsiTheme="minorHAnsi" w:cstheme="minorBidi"/>
          <w:bCs w:val="0"/>
          <w:sz w:val="22"/>
          <w:szCs w:val="22"/>
          <w:lang w:eastAsia="zh-CN"/>
        </w:rPr>
      </w:pPr>
      <w:hyperlink w:anchor="_Toc393890374" w:history="1">
        <w:r w:rsidR="00F016CD" w:rsidRPr="00ED0699">
          <w:rPr>
            <w:rStyle w:val="Hyperlink"/>
          </w:rPr>
          <w:t>2</w:t>
        </w:r>
        <w:r w:rsidR="00F016CD">
          <w:rPr>
            <w:rFonts w:asciiTheme="minorHAnsi" w:hAnsiTheme="minorHAnsi" w:cstheme="minorBidi"/>
            <w:bCs w:val="0"/>
            <w:sz w:val="22"/>
            <w:szCs w:val="22"/>
            <w:lang w:eastAsia="zh-CN"/>
          </w:rPr>
          <w:tab/>
        </w:r>
        <w:r w:rsidR="00F016CD" w:rsidRPr="00ED0699">
          <w:rPr>
            <w:rStyle w:val="Hyperlink"/>
          </w:rPr>
          <w:t>Scope</w:t>
        </w:r>
        <w:r w:rsidR="00F016CD">
          <w:rPr>
            <w:webHidden/>
          </w:rPr>
          <w:tab/>
        </w:r>
        <w:r w:rsidR="001439DC">
          <w:rPr>
            <w:webHidden/>
          </w:rPr>
          <w:tab/>
        </w:r>
        <w:r w:rsidR="00F016CD">
          <w:rPr>
            <w:webHidden/>
          </w:rPr>
          <w:fldChar w:fldCharType="begin"/>
        </w:r>
        <w:r w:rsidR="00F016CD">
          <w:rPr>
            <w:webHidden/>
          </w:rPr>
          <w:instrText xml:space="preserve"> PAGEREF _Toc393890374 \h </w:instrText>
        </w:r>
        <w:r w:rsidR="00F016CD">
          <w:rPr>
            <w:webHidden/>
          </w:rPr>
        </w:r>
        <w:r w:rsidR="00F016CD">
          <w:rPr>
            <w:webHidden/>
          </w:rPr>
          <w:fldChar w:fldCharType="separate"/>
        </w:r>
        <w:r w:rsidR="004418C6">
          <w:rPr>
            <w:webHidden/>
          </w:rPr>
          <w:t>3</w:t>
        </w:r>
        <w:r w:rsidR="00F016CD">
          <w:rPr>
            <w:webHidden/>
          </w:rPr>
          <w:fldChar w:fldCharType="end"/>
        </w:r>
      </w:hyperlink>
    </w:p>
    <w:p w:rsidR="00F016CD" w:rsidRDefault="00992A11">
      <w:pPr>
        <w:pStyle w:val="TOC1"/>
        <w:rPr>
          <w:rFonts w:asciiTheme="minorHAnsi" w:hAnsiTheme="minorHAnsi" w:cstheme="minorBidi"/>
          <w:bCs w:val="0"/>
          <w:sz w:val="22"/>
          <w:szCs w:val="22"/>
          <w:lang w:eastAsia="zh-CN"/>
        </w:rPr>
      </w:pPr>
      <w:hyperlink w:anchor="_Toc393890375" w:history="1">
        <w:r w:rsidR="00F016CD" w:rsidRPr="00ED0699">
          <w:rPr>
            <w:rStyle w:val="Hyperlink"/>
          </w:rPr>
          <w:t>3</w:t>
        </w:r>
        <w:r w:rsidR="00F016CD">
          <w:rPr>
            <w:rFonts w:asciiTheme="minorHAnsi" w:hAnsiTheme="minorHAnsi" w:cstheme="minorBidi"/>
            <w:bCs w:val="0"/>
            <w:sz w:val="22"/>
            <w:szCs w:val="22"/>
            <w:lang w:eastAsia="zh-CN"/>
          </w:rPr>
          <w:tab/>
        </w:r>
        <w:r w:rsidR="00F016CD" w:rsidRPr="00ED0699">
          <w:rPr>
            <w:rStyle w:val="Hyperlink"/>
          </w:rPr>
          <w:t>Roles and Responsibilities</w:t>
        </w:r>
        <w:r w:rsidR="00F016CD">
          <w:rPr>
            <w:webHidden/>
          </w:rPr>
          <w:tab/>
        </w:r>
        <w:r w:rsidR="00F016CD">
          <w:rPr>
            <w:webHidden/>
          </w:rPr>
          <w:fldChar w:fldCharType="begin"/>
        </w:r>
        <w:r w:rsidR="00F016CD">
          <w:rPr>
            <w:webHidden/>
          </w:rPr>
          <w:instrText xml:space="preserve"> PAGEREF _Toc393890375 \h </w:instrText>
        </w:r>
        <w:r w:rsidR="00F016CD">
          <w:rPr>
            <w:webHidden/>
          </w:rPr>
        </w:r>
        <w:r w:rsidR="00F016CD">
          <w:rPr>
            <w:webHidden/>
          </w:rPr>
          <w:fldChar w:fldCharType="separate"/>
        </w:r>
        <w:r w:rsidR="004418C6">
          <w:rPr>
            <w:webHidden/>
          </w:rPr>
          <w:t>3</w:t>
        </w:r>
        <w:r w:rsidR="00F016CD">
          <w:rPr>
            <w:webHidden/>
          </w:rPr>
          <w:fldChar w:fldCharType="end"/>
        </w:r>
      </w:hyperlink>
    </w:p>
    <w:p w:rsidR="00F016CD" w:rsidRDefault="00992A11">
      <w:pPr>
        <w:pStyle w:val="TOC1"/>
        <w:rPr>
          <w:rFonts w:asciiTheme="minorHAnsi" w:hAnsiTheme="minorHAnsi" w:cstheme="minorBidi"/>
          <w:bCs w:val="0"/>
          <w:sz w:val="22"/>
          <w:szCs w:val="22"/>
          <w:lang w:eastAsia="zh-CN"/>
        </w:rPr>
      </w:pPr>
      <w:hyperlink w:anchor="_Toc393890377" w:history="1">
        <w:r w:rsidR="00F016CD" w:rsidRPr="00ED0699">
          <w:rPr>
            <w:rStyle w:val="Hyperlink"/>
          </w:rPr>
          <w:t>4</w:t>
        </w:r>
        <w:r w:rsidR="00F016CD">
          <w:rPr>
            <w:rFonts w:asciiTheme="minorHAnsi" w:hAnsiTheme="minorHAnsi" w:cstheme="minorBidi"/>
            <w:bCs w:val="0"/>
            <w:sz w:val="22"/>
            <w:szCs w:val="22"/>
            <w:lang w:eastAsia="zh-CN"/>
          </w:rPr>
          <w:tab/>
        </w:r>
        <w:r w:rsidR="00F016CD" w:rsidRPr="00ED0699">
          <w:rPr>
            <w:rStyle w:val="Hyperlink"/>
          </w:rPr>
          <w:t>Overview of feedback mechanisms</w:t>
        </w:r>
        <w:r w:rsidR="00F016CD">
          <w:rPr>
            <w:webHidden/>
          </w:rPr>
          <w:tab/>
        </w:r>
        <w:r w:rsidR="00F016CD">
          <w:rPr>
            <w:webHidden/>
          </w:rPr>
          <w:fldChar w:fldCharType="begin"/>
        </w:r>
        <w:r w:rsidR="00F016CD">
          <w:rPr>
            <w:webHidden/>
          </w:rPr>
          <w:instrText xml:space="preserve"> PAGEREF _Toc393890377 \h </w:instrText>
        </w:r>
        <w:r w:rsidR="00F016CD">
          <w:rPr>
            <w:webHidden/>
          </w:rPr>
        </w:r>
        <w:r w:rsidR="00F016CD">
          <w:rPr>
            <w:webHidden/>
          </w:rPr>
          <w:fldChar w:fldCharType="separate"/>
        </w:r>
        <w:r w:rsidR="004418C6">
          <w:rPr>
            <w:webHidden/>
          </w:rPr>
          <w:t>4</w:t>
        </w:r>
        <w:r w:rsidR="00F016CD">
          <w:rPr>
            <w:webHidden/>
          </w:rPr>
          <w:fldChar w:fldCharType="end"/>
        </w:r>
      </w:hyperlink>
    </w:p>
    <w:p w:rsidR="00F016CD" w:rsidRDefault="00992A11">
      <w:pPr>
        <w:pStyle w:val="TOC1"/>
        <w:rPr>
          <w:rFonts w:asciiTheme="minorHAnsi" w:hAnsiTheme="minorHAnsi" w:cstheme="minorBidi"/>
          <w:bCs w:val="0"/>
          <w:sz w:val="22"/>
          <w:szCs w:val="22"/>
          <w:lang w:eastAsia="zh-CN"/>
        </w:rPr>
      </w:pPr>
      <w:hyperlink w:anchor="_Toc393890378" w:history="1">
        <w:r w:rsidR="00F016CD" w:rsidRPr="00ED0699">
          <w:rPr>
            <w:rStyle w:val="Hyperlink"/>
          </w:rPr>
          <w:t>5</w:t>
        </w:r>
        <w:r w:rsidR="00F016CD">
          <w:rPr>
            <w:rFonts w:asciiTheme="minorHAnsi" w:hAnsiTheme="minorHAnsi" w:cstheme="minorBidi"/>
            <w:bCs w:val="0"/>
            <w:sz w:val="22"/>
            <w:szCs w:val="22"/>
            <w:lang w:eastAsia="zh-CN"/>
          </w:rPr>
          <w:tab/>
        </w:r>
        <w:r w:rsidR="00F016CD" w:rsidRPr="00ED0699">
          <w:rPr>
            <w:rStyle w:val="Hyperlink"/>
          </w:rPr>
          <w:t>Student feedback at formal meetings</w:t>
        </w:r>
        <w:r w:rsidR="00F016CD">
          <w:rPr>
            <w:webHidden/>
          </w:rPr>
          <w:tab/>
        </w:r>
        <w:r w:rsidR="00F016CD">
          <w:rPr>
            <w:webHidden/>
          </w:rPr>
          <w:fldChar w:fldCharType="begin"/>
        </w:r>
        <w:r w:rsidR="00F016CD">
          <w:rPr>
            <w:webHidden/>
          </w:rPr>
          <w:instrText xml:space="preserve"> PAGEREF _Toc393890378 \h </w:instrText>
        </w:r>
        <w:r w:rsidR="00F016CD">
          <w:rPr>
            <w:webHidden/>
          </w:rPr>
        </w:r>
        <w:r w:rsidR="00F016CD">
          <w:rPr>
            <w:webHidden/>
          </w:rPr>
          <w:fldChar w:fldCharType="separate"/>
        </w:r>
        <w:r w:rsidR="004418C6">
          <w:rPr>
            <w:webHidden/>
          </w:rPr>
          <w:t>5</w:t>
        </w:r>
        <w:r w:rsidR="00F016CD">
          <w:rPr>
            <w:webHidden/>
          </w:rPr>
          <w:fldChar w:fldCharType="end"/>
        </w:r>
      </w:hyperlink>
    </w:p>
    <w:p w:rsidR="00F016CD" w:rsidRDefault="00992A11">
      <w:pPr>
        <w:pStyle w:val="TOC1"/>
        <w:rPr>
          <w:rFonts w:asciiTheme="minorHAnsi" w:hAnsiTheme="minorHAnsi" w:cstheme="minorBidi"/>
          <w:bCs w:val="0"/>
          <w:sz w:val="22"/>
          <w:szCs w:val="22"/>
          <w:lang w:eastAsia="zh-CN"/>
        </w:rPr>
      </w:pPr>
      <w:hyperlink w:anchor="_Toc393890379" w:history="1">
        <w:r w:rsidR="00F016CD" w:rsidRPr="00ED0699">
          <w:rPr>
            <w:rStyle w:val="Hyperlink"/>
          </w:rPr>
          <w:t>6</w:t>
        </w:r>
        <w:r w:rsidR="00F016CD">
          <w:rPr>
            <w:rFonts w:asciiTheme="minorHAnsi" w:hAnsiTheme="minorHAnsi" w:cstheme="minorBidi"/>
            <w:bCs w:val="0"/>
            <w:sz w:val="22"/>
            <w:szCs w:val="22"/>
            <w:lang w:eastAsia="zh-CN"/>
          </w:rPr>
          <w:tab/>
        </w:r>
        <w:r w:rsidR="00F016CD" w:rsidRPr="00ED0699">
          <w:rPr>
            <w:rStyle w:val="Hyperlink"/>
          </w:rPr>
          <w:t>Focus groups</w:t>
        </w:r>
        <w:r w:rsidR="00F016CD">
          <w:rPr>
            <w:webHidden/>
          </w:rPr>
          <w:tab/>
        </w:r>
        <w:r w:rsidR="00F016CD">
          <w:rPr>
            <w:webHidden/>
          </w:rPr>
          <w:fldChar w:fldCharType="begin"/>
        </w:r>
        <w:r w:rsidR="00F016CD">
          <w:rPr>
            <w:webHidden/>
          </w:rPr>
          <w:instrText xml:space="preserve"> PAGEREF _Toc393890379 \h </w:instrText>
        </w:r>
        <w:r w:rsidR="00F016CD">
          <w:rPr>
            <w:webHidden/>
          </w:rPr>
        </w:r>
        <w:r w:rsidR="00F016CD">
          <w:rPr>
            <w:webHidden/>
          </w:rPr>
          <w:fldChar w:fldCharType="separate"/>
        </w:r>
        <w:r w:rsidR="004418C6">
          <w:rPr>
            <w:webHidden/>
          </w:rPr>
          <w:t>6</w:t>
        </w:r>
        <w:r w:rsidR="00F016CD">
          <w:rPr>
            <w:webHidden/>
          </w:rPr>
          <w:fldChar w:fldCharType="end"/>
        </w:r>
      </w:hyperlink>
    </w:p>
    <w:p w:rsidR="00F016CD" w:rsidRDefault="00992A11">
      <w:pPr>
        <w:pStyle w:val="TOC1"/>
        <w:rPr>
          <w:rFonts w:asciiTheme="minorHAnsi" w:hAnsiTheme="minorHAnsi" w:cstheme="minorBidi"/>
          <w:bCs w:val="0"/>
          <w:sz w:val="22"/>
          <w:szCs w:val="22"/>
          <w:lang w:eastAsia="zh-CN"/>
        </w:rPr>
      </w:pPr>
      <w:hyperlink w:anchor="_Toc393890380" w:history="1">
        <w:r w:rsidR="00F016CD" w:rsidRPr="00ED0699">
          <w:rPr>
            <w:rStyle w:val="Hyperlink"/>
          </w:rPr>
          <w:t>7</w:t>
        </w:r>
        <w:r w:rsidR="00F016CD">
          <w:rPr>
            <w:rFonts w:asciiTheme="minorHAnsi" w:hAnsiTheme="minorHAnsi" w:cstheme="minorBidi"/>
            <w:bCs w:val="0"/>
            <w:sz w:val="22"/>
            <w:szCs w:val="22"/>
            <w:lang w:eastAsia="zh-CN"/>
          </w:rPr>
          <w:tab/>
        </w:r>
        <w:r w:rsidR="00F016CD" w:rsidRPr="00ED0699">
          <w:rPr>
            <w:rStyle w:val="Hyperlink"/>
          </w:rPr>
          <w:t>Mechanisms for collecting anonymous feedback</w:t>
        </w:r>
        <w:r w:rsidR="00F016CD">
          <w:rPr>
            <w:webHidden/>
          </w:rPr>
          <w:tab/>
        </w:r>
        <w:r w:rsidR="00F016CD">
          <w:rPr>
            <w:webHidden/>
          </w:rPr>
          <w:fldChar w:fldCharType="begin"/>
        </w:r>
        <w:r w:rsidR="00F016CD">
          <w:rPr>
            <w:webHidden/>
          </w:rPr>
          <w:instrText xml:space="preserve"> PAGEREF _Toc393890380 \h </w:instrText>
        </w:r>
        <w:r w:rsidR="00F016CD">
          <w:rPr>
            <w:webHidden/>
          </w:rPr>
        </w:r>
        <w:r w:rsidR="00F016CD">
          <w:rPr>
            <w:webHidden/>
          </w:rPr>
          <w:fldChar w:fldCharType="separate"/>
        </w:r>
        <w:r w:rsidR="004418C6">
          <w:rPr>
            <w:webHidden/>
          </w:rPr>
          <w:t>6</w:t>
        </w:r>
        <w:r w:rsidR="00F016CD">
          <w:rPr>
            <w:webHidden/>
          </w:rPr>
          <w:fldChar w:fldCharType="end"/>
        </w:r>
      </w:hyperlink>
    </w:p>
    <w:p w:rsidR="00F016CD" w:rsidRDefault="00992A11">
      <w:pPr>
        <w:pStyle w:val="TOC1"/>
        <w:rPr>
          <w:rFonts w:asciiTheme="minorHAnsi" w:hAnsiTheme="minorHAnsi" w:cstheme="minorBidi"/>
          <w:bCs w:val="0"/>
          <w:sz w:val="22"/>
          <w:szCs w:val="22"/>
          <w:lang w:eastAsia="zh-CN"/>
        </w:rPr>
      </w:pPr>
      <w:hyperlink w:anchor="_Toc393890381" w:history="1">
        <w:r w:rsidR="00F016CD" w:rsidRPr="00ED0699">
          <w:rPr>
            <w:rStyle w:val="Hyperlink"/>
          </w:rPr>
          <w:t>8</w:t>
        </w:r>
        <w:r w:rsidR="00F016CD">
          <w:rPr>
            <w:rFonts w:asciiTheme="minorHAnsi" w:hAnsiTheme="minorHAnsi" w:cstheme="minorBidi"/>
            <w:bCs w:val="0"/>
            <w:sz w:val="22"/>
            <w:szCs w:val="22"/>
            <w:lang w:eastAsia="zh-CN"/>
          </w:rPr>
          <w:tab/>
        </w:r>
        <w:r w:rsidR="00F016CD" w:rsidRPr="00ED0699">
          <w:rPr>
            <w:rStyle w:val="Hyperlink"/>
          </w:rPr>
          <w:t>Feedback to students</w:t>
        </w:r>
        <w:r w:rsidR="00F016CD">
          <w:rPr>
            <w:webHidden/>
          </w:rPr>
          <w:tab/>
        </w:r>
        <w:r w:rsidR="00F016CD">
          <w:rPr>
            <w:webHidden/>
          </w:rPr>
          <w:fldChar w:fldCharType="begin"/>
        </w:r>
        <w:r w:rsidR="00F016CD">
          <w:rPr>
            <w:webHidden/>
          </w:rPr>
          <w:instrText xml:space="preserve"> PAGEREF _Toc393890381 \h </w:instrText>
        </w:r>
        <w:r w:rsidR="00F016CD">
          <w:rPr>
            <w:webHidden/>
          </w:rPr>
        </w:r>
        <w:r w:rsidR="00F016CD">
          <w:rPr>
            <w:webHidden/>
          </w:rPr>
          <w:fldChar w:fldCharType="separate"/>
        </w:r>
        <w:r w:rsidR="004418C6">
          <w:rPr>
            <w:webHidden/>
          </w:rPr>
          <w:t>7</w:t>
        </w:r>
        <w:r w:rsidR="00F016CD">
          <w:rPr>
            <w:webHidden/>
          </w:rPr>
          <w:fldChar w:fldCharType="end"/>
        </w:r>
      </w:hyperlink>
    </w:p>
    <w:p w:rsidR="00F016CD" w:rsidRDefault="00992A11">
      <w:pPr>
        <w:pStyle w:val="TOC1"/>
        <w:rPr>
          <w:rFonts w:asciiTheme="minorHAnsi" w:hAnsiTheme="minorHAnsi" w:cstheme="minorBidi"/>
          <w:bCs w:val="0"/>
          <w:sz w:val="22"/>
          <w:szCs w:val="22"/>
          <w:lang w:eastAsia="zh-CN"/>
        </w:rPr>
      </w:pPr>
      <w:hyperlink w:anchor="_Toc393890382" w:history="1">
        <w:r w:rsidR="00F016CD" w:rsidRPr="00ED0699">
          <w:rPr>
            <w:rStyle w:val="Hyperlink"/>
          </w:rPr>
          <w:t>9</w:t>
        </w:r>
        <w:r w:rsidR="00F016CD">
          <w:rPr>
            <w:rFonts w:asciiTheme="minorHAnsi" w:hAnsiTheme="minorHAnsi" w:cstheme="minorBidi"/>
            <w:bCs w:val="0"/>
            <w:sz w:val="22"/>
            <w:szCs w:val="22"/>
            <w:lang w:eastAsia="zh-CN"/>
          </w:rPr>
          <w:tab/>
        </w:r>
        <w:r w:rsidR="00F016CD" w:rsidRPr="00ED0699">
          <w:rPr>
            <w:rStyle w:val="Hyperlink"/>
          </w:rPr>
          <w:t>Responding to complaints and negative feedback</w:t>
        </w:r>
        <w:r w:rsidR="00F016CD">
          <w:rPr>
            <w:webHidden/>
          </w:rPr>
          <w:tab/>
        </w:r>
        <w:r w:rsidR="00F016CD">
          <w:rPr>
            <w:webHidden/>
          </w:rPr>
          <w:fldChar w:fldCharType="begin"/>
        </w:r>
        <w:r w:rsidR="00F016CD">
          <w:rPr>
            <w:webHidden/>
          </w:rPr>
          <w:instrText xml:space="preserve"> PAGEREF _Toc393890382 \h </w:instrText>
        </w:r>
        <w:r w:rsidR="00F016CD">
          <w:rPr>
            <w:webHidden/>
          </w:rPr>
        </w:r>
        <w:r w:rsidR="00F016CD">
          <w:rPr>
            <w:webHidden/>
          </w:rPr>
          <w:fldChar w:fldCharType="separate"/>
        </w:r>
        <w:r w:rsidR="004418C6">
          <w:rPr>
            <w:webHidden/>
          </w:rPr>
          <w:t>7</w:t>
        </w:r>
        <w:r w:rsidR="00F016CD">
          <w:rPr>
            <w:webHidden/>
          </w:rPr>
          <w:fldChar w:fldCharType="end"/>
        </w:r>
      </w:hyperlink>
    </w:p>
    <w:p w:rsidR="00876075" w:rsidRPr="008754FB" w:rsidRDefault="008754FB" w:rsidP="00846FB2">
      <w:pPr>
        <w:spacing w:before="240" w:after="240"/>
        <w:rPr>
          <w:color w:val="943634" w:themeColor="accent2" w:themeShade="BF"/>
          <w:sz w:val="28"/>
          <w:szCs w:val="28"/>
        </w:rPr>
      </w:pPr>
      <w:r w:rsidRPr="008754FB">
        <w:rPr>
          <w:bCs/>
          <w:noProof/>
          <w:color w:val="943634" w:themeColor="accent2" w:themeShade="BF"/>
          <w:sz w:val="28"/>
          <w:szCs w:val="28"/>
        </w:rPr>
        <w:fldChar w:fldCharType="end"/>
      </w:r>
    </w:p>
    <w:p w:rsidR="00876075" w:rsidRDefault="00876075">
      <w:pPr>
        <w:rPr>
          <w:rFonts w:ascii="Arial" w:hAnsi="Arial" w:cs="Arial"/>
          <w:b/>
          <w:bCs/>
          <w:color w:val="943634" w:themeColor="accent2" w:themeShade="BF"/>
          <w:sz w:val="24"/>
          <w:szCs w:val="24"/>
        </w:rPr>
      </w:pPr>
      <w:r>
        <w:rPr>
          <w:color w:val="943634" w:themeColor="accent2" w:themeShade="BF"/>
          <w:sz w:val="24"/>
          <w:szCs w:val="24"/>
        </w:rPr>
        <w:br w:type="page"/>
      </w:r>
    </w:p>
    <w:p w:rsidR="00ED4A53" w:rsidRPr="00D23717" w:rsidRDefault="00981629" w:rsidP="00846FB2">
      <w:pPr>
        <w:pStyle w:val="CoPborderheading"/>
        <w:rPr>
          <w:rFonts w:hint="eastAsia"/>
        </w:rPr>
      </w:pPr>
      <w:bookmarkStart w:id="1" w:name="_Toc342395970"/>
      <w:bookmarkStart w:id="2" w:name="_Toc393890373"/>
      <w:r w:rsidRPr="00D23717">
        <w:lastRenderedPageBreak/>
        <w:t xml:space="preserve">Introduction </w:t>
      </w:r>
      <w:r w:rsidR="00E92B0F" w:rsidRPr="00D23717">
        <w:t>and Context</w:t>
      </w:r>
      <w:bookmarkEnd w:id="1"/>
      <w:bookmarkEnd w:id="2"/>
      <w:r w:rsidR="00ED4A53" w:rsidRPr="00D23717">
        <w:t xml:space="preserve"> </w:t>
      </w:r>
    </w:p>
    <w:p w:rsidR="004A23B1" w:rsidRPr="00CF2081" w:rsidRDefault="004A23B1" w:rsidP="004A23B1">
      <w:pPr>
        <w:pStyle w:val="CoPNumberlevel1"/>
      </w:pPr>
      <w:bookmarkStart w:id="3" w:name="_Toc342395969"/>
      <w:r>
        <w:rPr>
          <w:rStyle w:val="A4"/>
        </w:rPr>
        <w:t>T</w:t>
      </w:r>
      <w:r w:rsidRPr="00CF2081">
        <w:rPr>
          <w:rStyle w:val="A4"/>
        </w:rPr>
        <w:t>he Liverpool School of Tropical Medicine</w:t>
      </w:r>
      <w:r w:rsidRPr="00CF2081">
        <w:t xml:space="preserve"> </w:t>
      </w:r>
      <w:r>
        <w:t>(LSTM) i</w:t>
      </w:r>
      <w:r w:rsidRPr="00CF2081">
        <w:t xml:space="preserve">s committed to working in partnership with </w:t>
      </w:r>
      <w:r>
        <w:t xml:space="preserve">its </w:t>
      </w:r>
      <w:r w:rsidRPr="00CF2081">
        <w:t xml:space="preserve">students in order to enhance </w:t>
      </w:r>
      <w:r>
        <w:t>the quality of their experience</w:t>
      </w:r>
      <w:r w:rsidRPr="00CF2081">
        <w:t xml:space="preserve">.  This Code of Practice provides a framework for </w:t>
      </w:r>
      <w:r>
        <w:t xml:space="preserve">how LSTM ensures that the student voice is heard, listened to and responded to in an appropriate and timely fashion. </w:t>
      </w:r>
      <w:r w:rsidRPr="00327278">
        <w:t>S</w:t>
      </w:r>
      <w:r>
        <w:t xml:space="preserve">tudent representatives </w:t>
      </w:r>
      <w:r w:rsidR="007011B7">
        <w:t>are central to this framework.</w:t>
      </w:r>
    </w:p>
    <w:p w:rsidR="004A23B1" w:rsidRPr="00CF2081" w:rsidRDefault="004A23B1" w:rsidP="004A23B1">
      <w:pPr>
        <w:pStyle w:val="CoPNumberlevel1"/>
      </w:pPr>
      <w:r w:rsidRPr="00CF2081">
        <w:t>This Code of Practice is set within the context of the UK Quality Code for Higher Education Chapter B5</w:t>
      </w:r>
      <w:r w:rsidR="00BB0BE5">
        <w:t xml:space="preserve"> (</w:t>
      </w:r>
      <w:r w:rsidRPr="00CF2081">
        <w:t>Student engagement</w:t>
      </w:r>
      <w:r w:rsidR="00BB0BE5">
        <w:t xml:space="preserve">, </w:t>
      </w:r>
      <w:r w:rsidRPr="00CF2081">
        <w:t>June 2012) and Chapter B9</w:t>
      </w:r>
      <w:r w:rsidR="00BB0BE5">
        <w:t xml:space="preserve"> (</w:t>
      </w:r>
      <w:r w:rsidRPr="00CF2081">
        <w:t xml:space="preserve">Academic </w:t>
      </w:r>
      <w:r w:rsidR="00BB0BE5">
        <w:t xml:space="preserve">appeals and student complaints, </w:t>
      </w:r>
      <w:r w:rsidRPr="00CF2081">
        <w:t>April 2013).</w:t>
      </w:r>
    </w:p>
    <w:p w:rsidR="004A23B1" w:rsidRDefault="004A23B1" w:rsidP="004A23B1">
      <w:pPr>
        <w:pStyle w:val="CoPNumberlevel1"/>
      </w:pPr>
      <w:r w:rsidRPr="00CF2081">
        <w:t>Related documents are:</w:t>
      </w:r>
    </w:p>
    <w:p w:rsidR="004A23B1" w:rsidRDefault="004A23B1" w:rsidP="00D47F02">
      <w:pPr>
        <w:pStyle w:val="CoPbullet"/>
        <w:spacing w:before="60" w:after="60"/>
        <w:ind w:left="1134" w:hanging="425"/>
      </w:pPr>
      <w:r>
        <w:t>LSTM Student Charter</w:t>
      </w:r>
    </w:p>
    <w:p w:rsidR="004A47FC" w:rsidRDefault="004A47FC" w:rsidP="00D47F02">
      <w:pPr>
        <w:pStyle w:val="CoPbullet"/>
        <w:spacing w:before="60" w:after="60"/>
        <w:ind w:left="1134" w:hanging="425"/>
      </w:pPr>
      <w:r>
        <w:t>Code of Practice on Complaints and Appeals</w:t>
      </w:r>
    </w:p>
    <w:p w:rsidR="00D61E6D" w:rsidRDefault="00D61E6D" w:rsidP="00D47F02">
      <w:pPr>
        <w:pStyle w:val="CoPbullet"/>
        <w:spacing w:before="60" w:after="60"/>
        <w:ind w:left="1134" w:hanging="425"/>
      </w:pPr>
      <w:r>
        <w:t>Procedure for Dealing with Academic Appeals (Taught Programmes)</w:t>
      </w:r>
    </w:p>
    <w:p w:rsidR="00D61E6D" w:rsidRDefault="00D61E6D" w:rsidP="00D61E6D">
      <w:pPr>
        <w:pStyle w:val="CoPbullet"/>
        <w:spacing w:before="60" w:after="60"/>
        <w:ind w:left="1134" w:hanging="425"/>
      </w:pPr>
      <w:r>
        <w:t>Procedure for Dealing with Academic Appeals (Research Programmes)</w:t>
      </w:r>
    </w:p>
    <w:p w:rsidR="00D61E6D" w:rsidRDefault="00D61E6D" w:rsidP="00D61E6D">
      <w:pPr>
        <w:pStyle w:val="CoPbullet"/>
        <w:spacing w:before="60" w:after="60"/>
        <w:ind w:left="1134" w:hanging="425"/>
      </w:pPr>
      <w:r>
        <w:t xml:space="preserve">Procedure for Dealing with Student Complaints  </w:t>
      </w:r>
    </w:p>
    <w:p w:rsidR="00B11C69" w:rsidRDefault="00BB0BE5" w:rsidP="00D47F02">
      <w:pPr>
        <w:pStyle w:val="CoPbullet"/>
        <w:spacing w:before="60" w:after="60"/>
        <w:ind w:left="1134" w:hanging="425"/>
      </w:pPr>
      <w:r>
        <w:t>Procedure for Programme and Module E</w:t>
      </w:r>
      <w:r w:rsidR="00B11C69">
        <w:t xml:space="preserve">valuation </w:t>
      </w:r>
    </w:p>
    <w:p w:rsidR="009E3855" w:rsidRDefault="00721544" w:rsidP="00D47F02">
      <w:pPr>
        <w:pStyle w:val="CoPbullet"/>
        <w:spacing w:before="60" w:after="60"/>
        <w:ind w:left="1134" w:hanging="425"/>
      </w:pPr>
      <w:r>
        <w:t>Procedure f</w:t>
      </w:r>
      <w:r w:rsidR="00BB0BE5">
        <w:t>or C</w:t>
      </w:r>
      <w:r w:rsidR="009E3855">
        <w:t xml:space="preserve">onsulting </w:t>
      </w:r>
      <w:r w:rsidR="00BB0BE5">
        <w:t>S</w:t>
      </w:r>
      <w:r w:rsidR="009E3855">
        <w:t>tudents</w:t>
      </w:r>
      <w:r w:rsidR="00BB0BE5">
        <w:t xml:space="preserve"> on C</w:t>
      </w:r>
      <w:r w:rsidR="009E3855">
        <w:t xml:space="preserve">hanges to </w:t>
      </w:r>
      <w:r w:rsidR="00BB0BE5">
        <w:t>P</w:t>
      </w:r>
      <w:r w:rsidR="009E3855">
        <w:t>rogrammes</w:t>
      </w:r>
    </w:p>
    <w:p w:rsidR="009E3855" w:rsidRDefault="00B11C69" w:rsidP="00D47F02">
      <w:pPr>
        <w:pStyle w:val="CoPbullet"/>
        <w:spacing w:before="60" w:after="60"/>
        <w:ind w:left="1134" w:hanging="425"/>
      </w:pPr>
      <w:r>
        <w:t xml:space="preserve">Guidelines for </w:t>
      </w:r>
      <w:r w:rsidR="003F3483">
        <w:t>S</w:t>
      </w:r>
      <w:r>
        <w:t>tudents</w:t>
      </w:r>
      <w:r w:rsidR="003F3483">
        <w:t xml:space="preserve"> on the Student R</w:t>
      </w:r>
      <w:r w:rsidR="009E3855">
        <w:t>e</w:t>
      </w:r>
      <w:r w:rsidR="00721544">
        <w:t>presentation</w:t>
      </w:r>
      <w:r w:rsidR="003F3483">
        <w:t xml:space="preserve"> S</w:t>
      </w:r>
      <w:r>
        <w:t>ystem</w:t>
      </w:r>
      <w:r w:rsidR="00721544">
        <w:t xml:space="preserve">  </w:t>
      </w:r>
    </w:p>
    <w:p w:rsidR="00981629" w:rsidRPr="00A07F52" w:rsidRDefault="00981629" w:rsidP="00846FB2">
      <w:pPr>
        <w:pStyle w:val="CoPborderheading"/>
        <w:rPr>
          <w:rFonts w:hint="eastAsia"/>
        </w:rPr>
      </w:pPr>
      <w:bookmarkStart w:id="4" w:name="_Toc393890374"/>
      <w:r w:rsidRPr="00A07F52">
        <w:t>Scope</w:t>
      </w:r>
      <w:bookmarkEnd w:id="3"/>
      <w:bookmarkEnd w:id="4"/>
      <w:r w:rsidRPr="00A07F52">
        <w:t xml:space="preserve"> </w:t>
      </w:r>
    </w:p>
    <w:p w:rsidR="00D8619E" w:rsidRPr="00CF2081" w:rsidRDefault="00D8619E" w:rsidP="00D8619E">
      <w:pPr>
        <w:pStyle w:val="CoPNumberlevel1"/>
        <w:rPr>
          <w:rStyle w:val="A4"/>
        </w:rPr>
      </w:pPr>
      <w:bookmarkStart w:id="5" w:name="_Toc342395973"/>
      <w:r w:rsidRPr="00CF2081">
        <w:rPr>
          <w:rStyle w:val="A4"/>
        </w:rPr>
        <w:t xml:space="preserve">This Code of Practice applies to all </w:t>
      </w:r>
      <w:r w:rsidR="009179A8">
        <w:rPr>
          <w:rStyle w:val="A4"/>
        </w:rPr>
        <w:t xml:space="preserve">LSTM </w:t>
      </w:r>
      <w:r w:rsidRPr="00CF2081">
        <w:rPr>
          <w:rStyle w:val="A4"/>
        </w:rPr>
        <w:t xml:space="preserve">students </w:t>
      </w:r>
      <w:r w:rsidR="009179A8">
        <w:rPr>
          <w:rStyle w:val="A4"/>
        </w:rPr>
        <w:t xml:space="preserve">and alumni. </w:t>
      </w:r>
    </w:p>
    <w:p w:rsidR="00ED4A53" w:rsidRPr="00A07F52" w:rsidRDefault="00ED4A53" w:rsidP="00846FB2">
      <w:pPr>
        <w:pStyle w:val="CoPborderheading"/>
        <w:rPr>
          <w:rFonts w:hint="eastAsia"/>
        </w:rPr>
      </w:pPr>
      <w:bookmarkStart w:id="6" w:name="_Toc393890375"/>
      <w:r w:rsidRPr="00A07F52">
        <w:t>Roles and Responsibilities</w:t>
      </w:r>
      <w:bookmarkEnd w:id="5"/>
      <w:bookmarkEnd w:id="6"/>
    </w:p>
    <w:p w:rsidR="00D8619E" w:rsidRPr="00A70DB4" w:rsidRDefault="00D8619E" w:rsidP="00D8619E">
      <w:pPr>
        <w:pStyle w:val="CoPNumberlevel1"/>
      </w:pPr>
      <w:r>
        <w:t>Each programme/programme pathway should have a minimum of one</w:t>
      </w:r>
      <w:r w:rsidRPr="00681A60">
        <w:t xml:space="preserve"> </w:t>
      </w:r>
      <w:r>
        <w:t>and a maximum of two student representatives.  The student representatives are expected to:</w:t>
      </w:r>
    </w:p>
    <w:p w:rsidR="00D8619E" w:rsidRPr="00D8619E" w:rsidRDefault="00D8619E" w:rsidP="00D8619E">
      <w:pPr>
        <w:pStyle w:val="CoPNumberlevel2"/>
      </w:pPr>
      <w:bookmarkStart w:id="7" w:name="_Toc393799966"/>
      <w:bookmarkStart w:id="8" w:name="_Toc393890376"/>
      <w:r>
        <w:rPr>
          <w:rStyle w:val="Style3Char"/>
        </w:rPr>
        <w:t>A</w:t>
      </w:r>
      <w:r w:rsidRPr="00CF2081">
        <w:rPr>
          <w:rStyle w:val="Style3Char"/>
        </w:rPr>
        <w:t>ttend tr</w:t>
      </w:r>
      <w:r w:rsidRPr="00D8619E">
        <w:rPr>
          <w:rStyle w:val="Style3Char"/>
          <w:lang w:eastAsia="en-GB"/>
        </w:rPr>
        <w:t>aining sessions on student represen</w:t>
      </w:r>
      <w:bookmarkEnd w:id="7"/>
      <w:bookmarkEnd w:id="8"/>
      <w:r w:rsidRPr="00D8619E">
        <w:t>tation</w:t>
      </w:r>
    </w:p>
    <w:p w:rsidR="00D8619E" w:rsidRPr="00D8619E" w:rsidRDefault="00D8619E" w:rsidP="00D8619E">
      <w:pPr>
        <w:pStyle w:val="CoPNumberlevel2"/>
      </w:pPr>
      <w:r w:rsidRPr="00D8619E">
        <w:t>Gather student opinion and present it in an appropriate and objective form</w:t>
      </w:r>
    </w:p>
    <w:p w:rsidR="00D8619E" w:rsidRPr="00D8619E" w:rsidRDefault="00D8619E" w:rsidP="00D8619E">
      <w:pPr>
        <w:pStyle w:val="CoPNumberlevel2"/>
      </w:pPr>
      <w:r w:rsidRPr="00D8619E">
        <w:t>Work with LSTM staff to identify effective practice, areas for enhancement and solutions to problems</w:t>
      </w:r>
    </w:p>
    <w:p w:rsidR="00D8619E" w:rsidRPr="00D8619E" w:rsidRDefault="00D8619E" w:rsidP="00D8619E">
      <w:pPr>
        <w:pStyle w:val="CoPNumberlevel2"/>
      </w:pPr>
      <w:r w:rsidRPr="00D8619E">
        <w:t>Report to their peers the response of LSTM to their feedback</w:t>
      </w:r>
    </w:p>
    <w:p w:rsidR="00D8619E" w:rsidRPr="00BE5ADD" w:rsidRDefault="009179A8" w:rsidP="00D8619E">
      <w:pPr>
        <w:pStyle w:val="CoPNumberlevel1"/>
      </w:pPr>
      <w:r>
        <w:t xml:space="preserve">The </w:t>
      </w:r>
      <w:r w:rsidR="00D8619E">
        <w:t>S</w:t>
      </w:r>
      <w:r w:rsidR="00D8619E" w:rsidRPr="00C82400">
        <w:t>tudent Experience Officer</w:t>
      </w:r>
      <w:r w:rsidR="00D8619E">
        <w:t xml:space="preserve"> will support the student representation systems for taught and research programmes respective</w:t>
      </w:r>
      <w:r w:rsidR="007011B7">
        <w:t>ly by the following mechanisms:</w:t>
      </w:r>
    </w:p>
    <w:p w:rsidR="00D8619E" w:rsidRPr="00D8619E" w:rsidRDefault="00D8619E" w:rsidP="00D8619E">
      <w:pPr>
        <w:pStyle w:val="CoPNumberlevel2"/>
      </w:pPr>
      <w:r w:rsidRPr="00D8619E">
        <w:lastRenderedPageBreak/>
        <w:t>Provide training and support for student representatives and for sta</w:t>
      </w:r>
      <w:r w:rsidR="007011B7">
        <w:t>ff who deal directly with them</w:t>
      </w:r>
    </w:p>
    <w:p w:rsidR="00D8619E" w:rsidRPr="00D8619E" w:rsidRDefault="00D8619E" w:rsidP="00D8619E">
      <w:pPr>
        <w:pStyle w:val="CoPNumberlevel2"/>
      </w:pPr>
      <w:r w:rsidRPr="00D8619E">
        <w:t>Facilitate the student representative election procedure (if necessary)</w:t>
      </w:r>
    </w:p>
    <w:p w:rsidR="00D8619E" w:rsidRPr="00D8619E" w:rsidRDefault="00D8619E" w:rsidP="00D8619E">
      <w:pPr>
        <w:pStyle w:val="CoPNumberlevel2"/>
      </w:pPr>
      <w:r w:rsidRPr="00D8619E">
        <w:t>Introduce student representatives to the purpose, powers and procedures of all committees on which students have direct representation and their relationships within the LSTM organisational structure</w:t>
      </w:r>
    </w:p>
    <w:p w:rsidR="00D8619E" w:rsidRPr="00D8619E" w:rsidRDefault="00D8619E" w:rsidP="00D8619E">
      <w:pPr>
        <w:pStyle w:val="CoPNumberlevel2"/>
      </w:pPr>
      <w:r w:rsidRPr="00D8619E">
        <w:t>Ensure that student representatives have access to necessary administrative facilities</w:t>
      </w:r>
    </w:p>
    <w:p w:rsidR="00E46E15" w:rsidRDefault="006F6F52" w:rsidP="00F77C99">
      <w:pPr>
        <w:pStyle w:val="CoPNumberlevel2"/>
      </w:pPr>
      <w:r>
        <w:t xml:space="preserve">Collect feedback from students by a variety of mechanisms </w:t>
      </w:r>
      <w:r w:rsidR="00D8619E" w:rsidRPr="00D8619E">
        <w:t>and disseminate the results</w:t>
      </w:r>
      <w:r>
        <w:t xml:space="preserve"> and any actions taken</w:t>
      </w:r>
    </w:p>
    <w:p w:rsidR="00F77C99" w:rsidRDefault="00F77C99" w:rsidP="00F77C99">
      <w:pPr>
        <w:pStyle w:val="CoPNumberlevel2"/>
      </w:pPr>
      <w:r>
        <w:t>Engage and consult with students on LSTM’s implementation of the Prevent duty. Students will be asked to comment via a variety of routes for solicitin</w:t>
      </w:r>
      <w:r w:rsidR="00660E0A">
        <w:t>g feedback. A briefing session w</w:t>
      </w:r>
      <w:r>
        <w:t xml:space="preserve">ill be offered to student representatives to enable them to act as an impartial point of contact for students wishing to discuss the guidelines. </w:t>
      </w:r>
    </w:p>
    <w:p w:rsidR="00194A26" w:rsidRDefault="006F6F52" w:rsidP="00217173">
      <w:pPr>
        <w:pStyle w:val="CoPNumberlevel2"/>
      </w:pPr>
      <w:r>
        <w:t xml:space="preserve">Run the Higher Education Academy Postgraduate </w:t>
      </w:r>
      <w:r w:rsidR="00BB7FFC">
        <w:t>Taught Experience Survey</w:t>
      </w:r>
      <w:r w:rsidR="00194A26">
        <w:t>.</w:t>
      </w:r>
      <w:r w:rsidR="00BB7FFC">
        <w:t xml:space="preserve"> </w:t>
      </w:r>
    </w:p>
    <w:p w:rsidR="00D8619E" w:rsidRPr="00D8619E" w:rsidRDefault="00D8619E" w:rsidP="00217173">
      <w:pPr>
        <w:pStyle w:val="CoPNumberlevel2"/>
      </w:pPr>
      <w:r w:rsidRPr="00D8619E">
        <w:t>Monitor and report annually on the LSTM student experience, including student satisfaction; student engagement; and the effectiveness of the student representation systems</w:t>
      </w:r>
    </w:p>
    <w:p w:rsidR="00D8619E" w:rsidRDefault="00D8619E" w:rsidP="00D8619E">
      <w:pPr>
        <w:pStyle w:val="CoPNumberlevel1"/>
      </w:pPr>
      <w:r>
        <w:t xml:space="preserve">The Academic Registrar </w:t>
      </w:r>
      <w:r w:rsidR="00BB7FFC">
        <w:t xml:space="preserve">will </w:t>
      </w:r>
      <w:r>
        <w:t>report</w:t>
      </w:r>
      <w:r w:rsidR="00BB7FFC">
        <w:t xml:space="preserve"> </w:t>
      </w:r>
      <w:r>
        <w:t xml:space="preserve">annually to </w:t>
      </w:r>
      <w:r w:rsidR="009179A8">
        <w:t xml:space="preserve">the </w:t>
      </w:r>
      <w:r>
        <w:t xml:space="preserve">Learning and Teaching Committee on </w:t>
      </w:r>
      <w:r w:rsidR="007011B7">
        <w:t>student complaints and appeals.</w:t>
      </w:r>
    </w:p>
    <w:p w:rsidR="00194A26" w:rsidRDefault="00194A26" w:rsidP="00D8619E">
      <w:pPr>
        <w:pStyle w:val="CoPNumberlevel1"/>
      </w:pPr>
      <w:r>
        <w:t>The Early Career Researcher Support Unit will run the Postgraduate Research Experience Survey and disseminate the results</w:t>
      </w:r>
    </w:p>
    <w:p w:rsidR="00D8619E" w:rsidRDefault="00D8619E" w:rsidP="00D8619E">
      <w:pPr>
        <w:pStyle w:val="CoPNumberlevel1"/>
      </w:pPr>
      <w:r w:rsidRPr="00223F90">
        <w:t xml:space="preserve">The Director of Studies of a taught programme </w:t>
      </w:r>
      <w:r w:rsidR="00BB7FFC">
        <w:t xml:space="preserve">will </w:t>
      </w:r>
      <w:r w:rsidRPr="00223F90">
        <w:t>ensure that</w:t>
      </w:r>
      <w:r>
        <w:t>:</w:t>
      </w:r>
    </w:p>
    <w:p w:rsidR="00D8619E" w:rsidRPr="00D8619E" w:rsidRDefault="00D8619E" w:rsidP="00D8619E">
      <w:pPr>
        <w:pStyle w:val="CoPNumberlevel2"/>
      </w:pPr>
      <w:r w:rsidRPr="00D8619E">
        <w:t>Students have the opportunity to meet with the external examiner(s) in the absence of LSTM staff at some point during the programme</w:t>
      </w:r>
    </w:p>
    <w:p w:rsidR="00D8619E" w:rsidRPr="00770647" w:rsidRDefault="00D8619E" w:rsidP="00D8619E">
      <w:pPr>
        <w:pStyle w:val="CoPNumberlevel2"/>
      </w:pPr>
      <w:r w:rsidRPr="00D8619E">
        <w:t xml:space="preserve">Students have sufficient opportunities to give feedback during the </w:t>
      </w:r>
      <w:r>
        <w:t>programme to allow ongoing adjustments to be made if appropriate</w:t>
      </w:r>
    </w:p>
    <w:p w:rsidR="00A625AB" w:rsidRPr="001D5A76" w:rsidRDefault="00E9309B" w:rsidP="00A625AB">
      <w:pPr>
        <w:pStyle w:val="CoPborderheading"/>
        <w:rPr>
          <w:rFonts w:hint="eastAsia"/>
        </w:rPr>
      </w:pPr>
      <w:bookmarkStart w:id="9" w:name="_Toc393890377"/>
      <w:r>
        <w:rPr>
          <w:rFonts w:hint="eastAsia"/>
        </w:rPr>
        <w:t xml:space="preserve">Overview of </w:t>
      </w:r>
      <w:r>
        <w:t>F</w:t>
      </w:r>
      <w:r>
        <w:rPr>
          <w:rFonts w:hint="eastAsia"/>
        </w:rPr>
        <w:t xml:space="preserve">eedback </w:t>
      </w:r>
      <w:r>
        <w:t>M</w:t>
      </w:r>
      <w:r w:rsidR="00A625AB">
        <w:rPr>
          <w:rFonts w:hint="eastAsia"/>
        </w:rPr>
        <w:t>echanisms</w:t>
      </w:r>
      <w:bookmarkEnd w:id="9"/>
    </w:p>
    <w:p w:rsidR="00793D41" w:rsidRDefault="00793D41" w:rsidP="00793D41">
      <w:pPr>
        <w:pStyle w:val="CoPNumberlevel1"/>
      </w:pPr>
      <w:r>
        <w:t xml:space="preserve">LSTM will elicit feedback through a variety of formal and informal mechanisms, including </w:t>
      </w:r>
      <w:r w:rsidRPr="00CF2081">
        <w:t>student representatives reporting at formal committees</w:t>
      </w:r>
      <w:r>
        <w:t xml:space="preserve"> (Section 5), feedback at </w:t>
      </w:r>
      <w:r w:rsidRPr="00CF2081">
        <w:t>focus groups</w:t>
      </w:r>
      <w:r>
        <w:t xml:space="preserve"> (Section 6)</w:t>
      </w:r>
      <w:r w:rsidRPr="00CF2081">
        <w:t>, completion of module/programme evaluation questionnaires</w:t>
      </w:r>
      <w:r>
        <w:t xml:space="preserve"> (Section 7)</w:t>
      </w:r>
      <w:r w:rsidRPr="00CF2081">
        <w:t>, through the personal tutorial system (M</w:t>
      </w:r>
      <w:r w:rsidR="009179A8">
        <w:t xml:space="preserve">aster’s </w:t>
      </w:r>
      <w:r w:rsidRPr="00CF2081">
        <w:t xml:space="preserve">students), </w:t>
      </w:r>
      <w:r>
        <w:t xml:space="preserve">and </w:t>
      </w:r>
      <w:r w:rsidRPr="00CF2081">
        <w:t>via Progress A</w:t>
      </w:r>
      <w:r>
        <w:t>ssessment P</w:t>
      </w:r>
      <w:r w:rsidR="00BB7FFC">
        <w:t xml:space="preserve">anels (Research </w:t>
      </w:r>
      <w:r w:rsidR="007011B7">
        <w:t>students).</w:t>
      </w:r>
    </w:p>
    <w:p w:rsidR="00793D41" w:rsidRDefault="00793D41" w:rsidP="00793D41">
      <w:pPr>
        <w:pStyle w:val="CoPNumberlevel1"/>
      </w:pPr>
      <w:r w:rsidRPr="00A428A8">
        <w:lastRenderedPageBreak/>
        <w:t xml:space="preserve">Directors of Studies </w:t>
      </w:r>
      <w:r>
        <w:t xml:space="preserve">and Module Convenors are encouraged to supplement the LSTM-wide systems with additional </w:t>
      </w:r>
      <w:r w:rsidRPr="00CD5BE9">
        <w:rPr>
          <w:szCs w:val="23"/>
        </w:rPr>
        <w:t>approach</w:t>
      </w:r>
      <w:r>
        <w:rPr>
          <w:szCs w:val="23"/>
        </w:rPr>
        <w:t>es as approp</w:t>
      </w:r>
      <w:r w:rsidRPr="00CD5BE9">
        <w:rPr>
          <w:szCs w:val="23"/>
        </w:rPr>
        <w:t>riate to their programme</w:t>
      </w:r>
      <w:r>
        <w:rPr>
          <w:szCs w:val="23"/>
        </w:rPr>
        <w:t xml:space="preserve">/module. </w:t>
      </w:r>
      <w:r w:rsidRPr="00A428A8">
        <w:t xml:space="preserve">These might include, but are not limited to, informal feedback during lectures or seminars; open discussions with the student body; </w:t>
      </w:r>
      <w:r>
        <w:t>or use of the ‘</w:t>
      </w:r>
      <w:proofErr w:type="spellStart"/>
      <w:r>
        <w:t>Turningpoint</w:t>
      </w:r>
      <w:proofErr w:type="spellEnd"/>
      <w:r>
        <w:t xml:space="preserve">’ </w:t>
      </w:r>
      <w:r w:rsidRPr="00A428A8">
        <w:t>electronic response system</w:t>
      </w:r>
      <w:r w:rsidR="007011B7">
        <w:t>.</w:t>
      </w:r>
    </w:p>
    <w:p w:rsidR="00793D41" w:rsidRDefault="00793D41" w:rsidP="00793D41">
      <w:pPr>
        <w:pStyle w:val="CoPNumberlevel1"/>
      </w:pPr>
      <w:r>
        <w:t>Since f</w:t>
      </w:r>
      <w:r w:rsidRPr="001D5A76">
        <w:t>eedback from students is intended to</w:t>
      </w:r>
      <w:r>
        <w:t xml:space="preserve"> enhance the current as well as the </w:t>
      </w:r>
      <w:r w:rsidRPr="001D5A76">
        <w:t>future student experience</w:t>
      </w:r>
      <w:r>
        <w:t xml:space="preserve">, </w:t>
      </w:r>
      <w:r w:rsidRPr="001D5A76">
        <w:t xml:space="preserve">the opportunity to provide feedback should be timely and </w:t>
      </w:r>
      <w:r>
        <w:t xml:space="preserve">ensure that </w:t>
      </w:r>
      <w:r w:rsidRPr="001D5A76">
        <w:t xml:space="preserve">students </w:t>
      </w:r>
      <w:r>
        <w:t xml:space="preserve">have </w:t>
      </w:r>
      <w:r w:rsidRPr="001D5A76">
        <w:t>the opportunity to provide feedback</w:t>
      </w:r>
      <w:r>
        <w:t xml:space="preserve"> both during the programme</w:t>
      </w:r>
      <w:r w:rsidR="007011B7">
        <w:t>/module as well as at the end.</w:t>
      </w:r>
    </w:p>
    <w:p w:rsidR="00793D41" w:rsidRDefault="00793D41" w:rsidP="00793D41">
      <w:pPr>
        <w:pStyle w:val="CoPNumberlevel1"/>
      </w:pPr>
      <w:r>
        <w:t xml:space="preserve">Feedback should be sought periodically from alumni as a mechanism for evaluating the long term impact and </w:t>
      </w:r>
      <w:r w:rsidR="007011B7">
        <w:t>appropriateness of a programme.</w:t>
      </w:r>
    </w:p>
    <w:p w:rsidR="00793D41" w:rsidRDefault="00793D41" w:rsidP="00793D41">
      <w:pPr>
        <w:pStyle w:val="CoPNumberlevel1"/>
      </w:pPr>
      <w:r>
        <w:t>LSTM will encourage participation by students in internal and external re</w:t>
      </w:r>
      <w:r w:rsidR="007011B7">
        <w:t>view processes as appropriate.</w:t>
      </w:r>
    </w:p>
    <w:p w:rsidR="009A6C91" w:rsidRDefault="00E9309B" w:rsidP="009A6C91">
      <w:pPr>
        <w:pStyle w:val="CoPborderheading"/>
        <w:ind w:left="680" w:hanging="680"/>
        <w:rPr>
          <w:rFonts w:hint="eastAsia"/>
        </w:rPr>
      </w:pPr>
      <w:bookmarkStart w:id="10" w:name="_Toc393890378"/>
      <w:r>
        <w:rPr>
          <w:rFonts w:hint="eastAsia"/>
        </w:rPr>
        <w:t xml:space="preserve">Student </w:t>
      </w:r>
      <w:r>
        <w:t>F</w:t>
      </w:r>
      <w:r w:rsidR="009A6C91">
        <w:rPr>
          <w:rFonts w:hint="eastAsia"/>
        </w:rPr>
        <w:t xml:space="preserve">eedback at </w:t>
      </w:r>
      <w:r>
        <w:t>F</w:t>
      </w:r>
      <w:r>
        <w:rPr>
          <w:rFonts w:hint="eastAsia"/>
        </w:rPr>
        <w:t xml:space="preserve">ormal </w:t>
      </w:r>
      <w:r>
        <w:t>M</w:t>
      </w:r>
      <w:r w:rsidR="009A6C91">
        <w:rPr>
          <w:rFonts w:hint="eastAsia"/>
        </w:rPr>
        <w:t>eetings</w:t>
      </w:r>
      <w:bookmarkEnd w:id="10"/>
      <w:r w:rsidR="009A6C91">
        <w:rPr>
          <w:rFonts w:hint="eastAsia"/>
        </w:rPr>
        <w:t xml:space="preserve"> </w:t>
      </w:r>
    </w:p>
    <w:p w:rsidR="00A1295D" w:rsidRPr="00A1295D" w:rsidRDefault="00A1295D" w:rsidP="00A1295D">
      <w:pPr>
        <w:pStyle w:val="CoPNumberlevel1"/>
      </w:pPr>
      <w:r w:rsidRPr="00A1295D">
        <w:t xml:space="preserve">Meetings of the following committees provide opportunities for formal feedback from student representatives; Staff Student Liaison Committee (SSLC), </w:t>
      </w:r>
      <w:r w:rsidR="00BB7FFC">
        <w:t>the Programmes Board</w:t>
      </w:r>
      <w:r w:rsidR="00D57E14">
        <w:t xml:space="preserve">, </w:t>
      </w:r>
      <w:r w:rsidRPr="00A1295D">
        <w:t>Boards of Studies</w:t>
      </w:r>
      <w:r w:rsidR="00BB7FFC">
        <w:t xml:space="preserve"> </w:t>
      </w:r>
      <w:r w:rsidR="00D57E14">
        <w:t xml:space="preserve">for taught programmes </w:t>
      </w:r>
      <w:r w:rsidRPr="00A1295D">
        <w:t>and the Research Pro</w:t>
      </w:r>
      <w:r w:rsidR="00BB7FFC">
        <w:t>grammes Board of Studies</w:t>
      </w:r>
      <w:r w:rsidR="007011B7">
        <w:t>.</w:t>
      </w:r>
      <w:r w:rsidR="009768AE">
        <w:t xml:space="preserve">  The committee structure also requires at least one MSc student to participate in the activities of the Quality Management Committee (QMC). Student representatives are not expected to sit on QMC, as it is a participatory rather than a representative role.</w:t>
      </w:r>
    </w:p>
    <w:p w:rsidR="00A1295D" w:rsidRPr="00A1295D" w:rsidRDefault="00A1295D" w:rsidP="00A1295D">
      <w:pPr>
        <w:pStyle w:val="CoPNumberlevel1"/>
      </w:pPr>
      <w:r w:rsidRPr="00A1295D">
        <w:t>For all meetings, the Chair shall ensure that the student representatives are fully briefed on the purpose of the committee and actively encourage them to participate as full members in the business of the committee (except for reserved items that relate to individual students o</w:t>
      </w:r>
      <w:r w:rsidR="007011B7">
        <w:t>r other confidential matters).</w:t>
      </w:r>
    </w:p>
    <w:p w:rsidR="00A1295D" w:rsidRPr="00A1295D" w:rsidRDefault="00D57E14" w:rsidP="00A1295D">
      <w:pPr>
        <w:pStyle w:val="CoPNumberlevel1"/>
      </w:pPr>
      <w:r>
        <w:t xml:space="preserve">The </w:t>
      </w:r>
      <w:r w:rsidR="00A1295D" w:rsidRPr="00A1295D">
        <w:t xml:space="preserve">Terms of Reference </w:t>
      </w:r>
      <w:r>
        <w:t xml:space="preserve">of all committees will be </w:t>
      </w:r>
      <w:r w:rsidR="00A1295D" w:rsidRPr="00A1295D">
        <w:t xml:space="preserve">reviewed at the first meeting of the academic year and published on the virtual learning environment (VLE).  In general terms the roles of the committees </w:t>
      </w:r>
      <w:r>
        <w:t xml:space="preserve">will </w:t>
      </w:r>
      <w:r w:rsidR="00A1295D" w:rsidRPr="00A1295D">
        <w:t>be as follows:</w:t>
      </w:r>
    </w:p>
    <w:p w:rsidR="00A1295D" w:rsidRPr="00A1295D" w:rsidRDefault="00A1295D" w:rsidP="00A1295D">
      <w:pPr>
        <w:pStyle w:val="CoPNumberlevel2"/>
      </w:pPr>
      <w:r w:rsidRPr="00A1295D">
        <w:t>The SSLC gives Master</w:t>
      </w:r>
      <w:r w:rsidR="00D57E14">
        <w:t>’</w:t>
      </w:r>
      <w:r w:rsidRPr="00A1295D">
        <w:t>s students the opportunity to raise and comment on general issues related to their overall student experience.  The business covered includes, but is not restricted to, feedback on the previous year (e.g. the results of the PTES); the pre-enrolment and enrolment experience; student support services; general academic support (e.g. personal tutoring system); resources; and any issues on which LSTM might periodically seek specific feedback from</w:t>
      </w:r>
      <w:r w:rsidR="007011B7">
        <w:t xml:space="preserve"> the student body.</w:t>
      </w:r>
    </w:p>
    <w:p w:rsidR="00A1295D" w:rsidRPr="00A1295D" w:rsidRDefault="00D57E14" w:rsidP="00A1295D">
      <w:pPr>
        <w:pStyle w:val="CoPNumberlevel2"/>
      </w:pPr>
      <w:r>
        <w:t xml:space="preserve">A </w:t>
      </w:r>
      <w:r w:rsidR="00A1295D" w:rsidRPr="00A1295D">
        <w:t>Bo</w:t>
      </w:r>
      <w:r w:rsidR="00BB7FFC">
        <w:t xml:space="preserve">ard of </w:t>
      </w:r>
      <w:r w:rsidR="00A1295D" w:rsidRPr="00A1295D">
        <w:t>S</w:t>
      </w:r>
      <w:r w:rsidR="00BB7FFC">
        <w:t>tudies</w:t>
      </w:r>
      <w:r w:rsidR="00A1295D" w:rsidRPr="00A1295D">
        <w:t xml:space="preserve"> oversees the planning, operation, management and development of a specific programme or collection of related programmes.  The business covered includes, but is not restricted to, receiving and acting upon external examiner reports; collecting, reviewing and responding to </w:t>
      </w:r>
      <w:r w:rsidR="00A1295D" w:rsidRPr="00A1295D">
        <w:lastRenderedPageBreak/>
        <w:t>evaluations of the programme, including feedback from students; making recommendations regarding any proposed changes to the programme or modules; and advising on resource issues that have a direct impact on</w:t>
      </w:r>
      <w:r w:rsidR="007011B7">
        <w:t xml:space="preserve"> the programme.</w:t>
      </w:r>
    </w:p>
    <w:p w:rsidR="00A1295D" w:rsidRPr="00A1295D" w:rsidRDefault="00A1295D" w:rsidP="00BB7FFC">
      <w:pPr>
        <w:pStyle w:val="CoPNumberlevel2"/>
      </w:pPr>
      <w:r w:rsidRPr="00A1295D">
        <w:t xml:space="preserve">The </w:t>
      </w:r>
      <w:r w:rsidR="00BB7FFC" w:rsidRPr="00BB7FFC">
        <w:t>Research Programmes Board of Studies</w:t>
      </w:r>
      <w:r w:rsidR="00BB7FFC">
        <w:t xml:space="preserve"> </w:t>
      </w:r>
      <w:r w:rsidRPr="00A1295D">
        <w:t>is responsible for monitoring, evaluating and enhancing the experience for students undertaking postgraduate research degree programmes. The business covered includes, but is not restricted to, overseeing the operation and management of research degree programmes; collecting, reviewing and responding to evaluations of the programmes, including feedback from students; advising on resource issues that have a direct impact on the programmes; and reviewing annually the opportunities for students to develop research, personal and professional skills.</w:t>
      </w:r>
    </w:p>
    <w:p w:rsidR="00A1295D" w:rsidRDefault="00A1295D" w:rsidP="00A1295D">
      <w:pPr>
        <w:pStyle w:val="CoPNumberlevel2"/>
      </w:pPr>
      <w:r w:rsidRPr="00A1295D">
        <w:t>The P</w:t>
      </w:r>
      <w:r w:rsidR="00BB7FFC">
        <w:t xml:space="preserve">rogrammes </w:t>
      </w:r>
      <w:r w:rsidRPr="00A1295D">
        <w:t>B</w:t>
      </w:r>
      <w:r w:rsidR="00BB7FFC">
        <w:t xml:space="preserve">oard </w:t>
      </w:r>
      <w:r w:rsidRPr="00A1295D">
        <w:t>provides a forum for communication and discussion between Directors of Stud</w:t>
      </w:r>
      <w:r w:rsidR="00D57E14">
        <w:t xml:space="preserve">ies </w:t>
      </w:r>
      <w:r w:rsidRPr="00A1295D">
        <w:t>of taught programmes. It aims to identify and promote opportunities for shared teaching, exchange of effective practice and development of c</w:t>
      </w:r>
      <w:r w:rsidR="007011B7">
        <w:t>ross-disciplinary initiatives.</w:t>
      </w:r>
    </w:p>
    <w:p w:rsidR="00A1295D" w:rsidRDefault="00A1295D" w:rsidP="00A1295D">
      <w:pPr>
        <w:pStyle w:val="CoPborderheading"/>
        <w:rPr>
          <w:rFonts w:hint="eastAsia"/>
        </w:rPr>
      </w:pPr>
      <w:bookmarkStart w:id="11" w:name="_Toc393890379"/>
      <w:r w:rsidRPr="00B41383">
        <w:rPr>
          <w:rFonts w:hint="eastAsia"/>
        </w:rPr>
        <w:t xml:space="preserve">Focus </w:t>
      </w:r>
      <w:r w:rsidR="00E9309B">
        <w:t>G</w:t>
      </w:r>
      <w:r w:rsidRPr="00B41383">
        <w:rPr>
          <w:rFonts w:hint="eastAsia"/>
        </w:rPr>
        <w:t>roups</w:t>
      </w:r>
      <w:bookmarkEnd w:id="11"/>
      <w:r w:rsidRPr="00B41383">
        <w:rPr>
          <w:rFonts w:hint="eastAsia"/>
        </w:rPr>
        <w:t xml:space="preserve"> </w:t>
      </w:r>
    </w:p>
    <w:p w:rsidR="00A1295D" w:rsidRPr="00770647" w:rsidRDefault="00A1295D" w:rsidP="00A1295D">
      <w:pPr>
        <w:pStyle w:val="CoPNumberlevel1"/>
      </w:pPr>
      <w:r>
        <w:t xml:space="preserve">All </w:t>
      </w:r>
      <w:r w:rsidRPr="00223F90">
        <w:t xml:space="preserve">students </w:t>
      </w:r>
      <w:r>
        <w:t xml:space="preserve">will have the opportunity to </w:t>
      </w:r>
      <w:r w:rsidRPr="00223F90">
        <w:t>meet with the external examiner(s) in the absence of LSTM staff, either at the end of the programme or on a convenient date during the programme.</w:t>
      </w:r>
    </w:p>
    <w:p w:rsidR="00A1295D" w:rsidRPr="00774392" w:rsidRDefault="00A1295D" w:rsidP="00A1295D">
      <w:pPr>
        <w:pStyle w:val="CoPNumberlevel1"/>
      </w:pPr>
      <w:r w:rsidRPr="00774392">
        <w:t xml:space="preserve">In order to assist student representatives </w:t>
      </w:r>
      <w:r>
        <w:t xml:space="preserve">to </w:t>
      </w:r>
      <w:r w:rsidRPr="00774392">
        <w:t>collect</w:t>
      </w:r>
      <w:r>
        <w:t xml:space="preserve"> </w:t>
      </w:r>
      <w:r w:rsidR="00BB7FFC">
        <w:t xml:space="preserve">the views of the student body, </w:t>
      </w:r>
      <w:r>
        <w:t xml:space="preserve">students </w:t>
      </w:r>
      <w:r w:rsidR="00BB7FFC">
        <w:t xml:space="preserve">on credit-bearing programmes </w:t>
      </w:r>
      <w:r>
        <w:t xml:space="preserve">will be invited to attend </w:t>
      </w:r>
      <w:r w:rsidRPr="00774392">
        <w:t>student-led focus groups across the academic year</w:t>
      </w:r>
      <w:r>
        <w:t xml:space="preserve">.  </w:t>
      </w:r>
      <w:r w:rsidRPr="00774392">
        <w:t xml:space="preserve">Student representatives will be given a template agenda, which they are encouraged to adapt as necessary, and asked to provide a short written report.  This report will be used to construct the agenda for SSLC meetings and </w:t>
      </w:r>
      <w:r>
        <w:t xml:space="preserve">will </w:t>
      </w:r>
      <w:r w:rsidRPr="00774392">
        <w:t xml:space="preserve">also </w:t>
      </w:r>
      <w:r>
        <w:t xml:space="preserve">be </w:t>
      </w:r>
      <w:r w:rsidRPr="00774392">
        <w:t xml:space="preserve">discussed at the </w:t>
      </w:r>
      <w:r>
        <w:t xml:space="preserve">respective </w:t>
      </w:r>
      <w:r w:rsidR="007011B7">
        <w:t>Bo</w:t>
      </w:r>
      <w:r w:rsidR="00BB7FFC">
        <w:t xml:space="preserve">ard of </w:t>
      </w:r>
      <w:r w:rsidR="007011B7">
        <w:t>S</w:t>
      </w:r>
      <w:r w:rsidR="00BB7FFC">
        <w:t>tudies</w:t>
      </w:r>
      <w:r w:rsidR="007011B7">
        <w:t>.</w:t>
      </w:r>
    </w:p>
    <w:p w:rsidR="00A1295D" w:rsidRDefault="00A1295D" w:rsidP="00A1295D">
      <w:pPr>
        <w:pStyle w:val="CoPNumberlevel1"/>
        <w:rPr>
          <w:sz w:val="20"/>
          <w:szCs w:val="20"/>
        </w:rPr>
      </w:pPr>
      <w:r>
        <w:t>Students on professional programmes will be invited to attend student-led focus groups during the programme if feasible and/or will be given the opportunity to give ongoing feedback by other means.</w:t>
      </w:r>
    </w:p>
    <w:p w:rsidR="00A1295D" w:rsidRPr="00B41383" w:rsidRDefault="00A1295D" w:rsidP="00A1295D">
      <w:pPr>
        <w:pStyle w:val="CoPborderheading"/>
        <w:rPr>
          <w:rFonts w:hint="eastAsia"/>
        </w:rPr>
      </w:pPr>
      <w:bookmarkStart w:id="12" w:name="_Toc393890380"/>
      <w:r>
        <w:rPr>
          <w:rFonts w:hint="eastAsia"/>
        </w:rPr>
        <w:t xml:space="preserve">Mechanisms for </w:t>
      </w:r>
      <w:r w:rsidR="00E9309B">
        <w:t>C</w:t>
      </w:r>
      <w:r w:rsidR="00E9309B">
        <w:rPr>
          <w:rFonts w:hint="eastAsia"/>
        </w:rPr>
        <w:t xml:space="preserve">ollecting </w:t>
      </w:r>
      <w:r w:rsidR="00E9309B">
        <w:t>A</w:t>
      </w:r>
      <w:r w:rsidR="00E9309B">
        <w:rPr>
          <w:rFonts w:hint="eastAsia"/>
        </w:rPr>
        <w:t xml:space="preserve">nonymous </w:t>
      </w:r>
      <w:r w:rsidR="00E9309B">
        <w:t>F</w:t>
      </w:r>
      <w:r>
        <w:rPr>
          <w:rFonts w:hint="eastAsia"/>
        </w:rPr>
        <w:t>eedback</w:t>
      </w:r>
      <w:bookmarkEnd w:id="12"/>
    </w:p>
    <w:p w:rsidR="00A1295D" w:rsidRPr="002A00A8" w:rsidRDefault="00A1295D" w:rsidP="00A1295D">
      <w:pPr>
        <w:pStyle w:val="CoPNumberlevel1"/>
        <w:rPr>
          <w:sz w:val="20"/>
          <w:szCs w:val="20"/>
        </w:rPr>
      </w:pPr>
      <w:r>
        <w:t>Students will be invited to evaluate programmes, modules and short courses usin</w:t>
      </w:r>
      <w:r w:rsidR="007011B7">
        <w:t>g anonymous on-line surveys.</w:t>
      </w:r>
    </w:p>
    <w:p w:rsidR="00BB7FFC" w:rsidRDefault="00A1295D" w:rsidP="00EA1B23">
      <w:pPr>
        <w:pStyle w:val="CoPNumberlevel1"/>
      </w:pPr>
      <w:r>
        <w:t xml:space="preserve">To elicit feedback at programme level for </w:t>
      </w:r>
      <w:r w:rsidR="00BB7FFC">
        <w:t xml:space="preserve">credit-bearing programmes, </w:t>
      </w:r>
      <w:r>
        <w:t>LSTM will participate annually in the Higher E</w:t>
      </w:r>
      <w:r w:rsidR="007011B7">
        <w:t xml:space="preserve">ducation Academy </w:t>
      </w:r>
      <w:r w:rsidR="00BB7FFC">
        <w:t>Postgraduate Taught Experience Survey and the Postgraduate Research Experience Survey.</w:t>
      </w:r>
    </w:p>
    <w:p w:rsidR="00A1295D" w:rsidRPr="0058224F" w:rsidRDefault="00A1295D" w:rsidP="00EA1B23">
      <w:pPr>
        <w:pStyle w:val="CoPNumberlevel1"/>
      </w:pPr>
      <w:r w:rsidRPr="0058224F">
        <w:lastRenderedPageBreak/>
        <w:t>A specific response rate is not required for on-line surveys but the rate should be taken into account when evaluating the feedback and developing an action plan. Where feedback is low,</w:t>
      </w:r>
      <w:r>
        <w:t xml:space="preserve"> the Director of Studies/</w:t>
      </w:r>
      <w:r w:rsidRPr="0058224F">
        <w:t>Module Convenor should consider using an alternative approach to gather</w:t>
      </w:r>
      <w:r w:rsidR="007011B7">
        <w:t>ing feedback (Section 4.2).</w:t>
      </w:r>
    </w:p>
    <w:p w:rsidR="00A1295D" w:rsidRPr="0058224F" w:rsidRDefault="00A1295D" w:rsidP="00A1295D">
      <w:pPr>
        <w:pStyle w:val="CoPNumberlevel1"/>
      </w:pPr>
      <w:r w:rsidRPr="0058224F">
        <w:t xml:space="preserve">Students may </w:t>
      </w:r>
      <w:r>
        <w:t xml:space="preserve">also </w:t>
      </w:r>
      <w:r w:rsidRPr="0058224F">
        <w:t xml:space="preserve">give </w:t>
      </w:r>
      <w:r>
        <w:t xml:space="preserve">anonymous </w:t>
      </w:r>
      <w:r w:rsidRPr="0058224F">
        <w:t>feedback and suggestions for improvement by submitting</w:t>
      </w:r>
      <w:r>
        <w:t xml:space="preserve"> their comments t</w:t>
      </w:r>
      <w:r w:rsidR="00E70CF1">
        <w:t>hrough the Student Support Desk letterbox.</w:t>
      </w:r>
    </w:p>
    <w:p w:rsidR="00115929" w:rsidRDefault="00E9309B" w:rsidP="00115929">
      <w:pPr>
        <w:pStyle w:val="CoPborderheading"/>
        <w:rPr>
          <w:rFonts w:hint="eastAsia"/>
        </w:rPr>
      </w:pPr>
      <w:bookmarkStart w:id="13" w:name="_Toc393890381"/>
      <w:r>
        <w:rPr>
          <w:rFonts w:hint="eastAsia"/>
        </w:rPr>
        <w:t xml:space="preserve">Feedback to </w:t>
      </w:r>
      <w:r>
        <w:t>S</w:t>
      </w:r>
      <w:r w:rsidR="00115929">
        <w:rPr>
          <w:rFonts w:hint="eastAsia"/>
        </w:rPr>
        <w:t>tudents</w:t>
      </w:r>
      <w:bookmarkEnd w:id="13"/>
    </w:p>
    <w:p w:rsidR="00115929" w:rsidRPr="00115929" w:rsidRDefault="00115929" w:rsidP="00115929">
      <w:pPr>
        <w:pStyle w:val="CoPNumberlevel1"/>
      </w:pPr>
      <w:r w:rsidRPr="00115929">
        <w:t>LSTM will ensure that students are made aware of the results of their evaluation and any actions to be taken. This will include current students, future students and alumni as appropriate.  Methods of dissemination will include publication on student noticeboards, posting on the V</w:t>
      </w:r>
      <w:r w:rsidR="007011B7">
        <w:t>LE and use of student email.</w:t>
      </w:r>
    </w:p>
    <w:p w:rsidR="00115929" w:rsidRPr="00115929" w:rsidRDefault="00115929" w:rsidP="00115929">
      <w:pPr>
        <w:pStyle w:val="CoPNumberlevel1"/>
      </w:pPr>
      <w:r w:rsidRPr="00115929">
        <w:t xml:space="preserve">Directors of Studies and Module Convenors should consider student feedback obtained via all formal and informal mechanisms when completing the annual review of their programme/module.   The action plan arising from this review </w:t>
      </w:r>
      <w:r w:rsidR="00D57E14">
        <w:t xml:space="preserve">must </w:t>
      </w:r>
      <w:r w:rsidRPr="00115929">
        <w:t>be approved by the relevant Bo</w:t>
      </w:r>
      <w:r w:rsidR="00FF4A73">
        <w:t xml:space="preserve">ard of </w:t>
      </w:r>
      <w:r w:rsidRPr="00115929">
        <w:t>S</w:t>
      </w:r>
      <w:r w:rsidR="00FF4A73">
        <w:t>tudies</w:t>
      </w:r>
      <w:r w:rsidRPr="00115929">
        <w:t xml:space="preserve"> and be made available to the next </w:t>
      </w:r>
      <w:r w:rsidR="007011B7">
        <w:t>cohort of students via the VLE</w:t>
      </w:r>
    </w:p>
    <w:p w:rsidR="00115929" w:rsidRPr="00115929" w:rsidRDefault="006F6F52" w:rsidP="00115929">
      <w:pPr>
        <w:pStyle w:val="CoPNumberlevel1"/>
      </w:pPr>
      <w:r>
        <w:t xml:space="preserve">Students will receive via the VLE a summary of their feedback together with the minutes of relevant meetings and actions to be taken </w:t>
      </w:r>
      <w:r w:rsidR="007011B7">
        <w:t>by LSTM.</w:t>
      </w:r>
    </w:p>
    <w:p w:rsidR="00115929" w:rsidRPr="00115929" w:rsidRDefault="00115929" w:rsidP="00115929">
      <w:pPr>
        <w:pStyle w:val="CoPNumberlevel1"/>
      </w:pPr>
      <w:r w:rsidRPr="00115929">
        <w:t xml:space="preserve">The Student Experience Officer and the </w:t>
      </w:r>
      <w:r w:rsidR="006D03D3">
        <w:t>Early Career Researcher Support Unit</w:t>
      </w:r>
      <w:r w:rsidRPr="00115929">
        <w:t xml:space="preserve"> will present the results </w:t>
      </w:r>
      <w:r w:rsidR="00FF4A73">
        <w:t xml:space="preserve">of the Higher Education Academy Postgraduate Taught Experience Survey and the Postgraduate Research Experience Survey </w:t>
      </w:r>
      <w:r w:rsidRPr="00115929">
        <w:t>to the P</w:t>
      </w:r>
      <w:r w:rsidR="00FF4A73">
        <w:t xml:space="preserve">rogrammes </w:t>
      </w:r>
      <w:r w:rsidRPr="00115929">
        <w:t>B</w:t>
      </w:r>
      <w:r w:rsidR="00FF4A73">
        <w:t xml:space="preserve">oard </w:t>
      </w:r>
      <w:r w:rsidRPr="00115929">
        <w:t xml:space="preserve">and </w:t>
      </w:r>
      <w:r w:rsidR="00FF4A73">
        <w:t xml:space="preserve">the Research Programmes </w:t>
      </w:r>
      <w:r w:rsidRPr="00115929">
        <w:t>Bo</w:t>
      </w:r>
      <w:r w:rsidR="00FF4A73">
        <w:t xml:space="preserve">ard of </w:t>
      </w:r>
      <w:r w:rsidRPr="00115929">
        <w:t>S</w:t>
      </w:r>
      <w:r w:rsidR="00FF4A73">
        <w:t>tudies</w:t>
      </w:r>
      <w:r w:rsidRPr="00115929">
        <w:t xml:space="preserve"> respectively </w:t>
      </w:r>
      <w:proofErr w:type="gramStart"/>
      <w:r w:rsidRPr="00115929">
        <w:t>and also</w:t>
      </w:r>
      <w:proofErr w:type="gramEnd"/>
      <w:r w:rsidRPr="00115929">
        <w:t xml:space="preserve"> make them available to current and incoming s</w:t>
      </w:r>
      <w:r w:rsidR="007011B7">
        <w:t>tudent cohorts through the VLE.</w:t>
      </w:r>
    </w:p>
    <w:p w:rsidR="00115929" w:rsidRPr="00C10013" w:rsidRDefault="00115929" w:rsidP="006F6F52">
      <w:pPr>
        <w:pStyle w:val="CoPNumberlevel1"/>
      </w:pPr>
      <w:r w:rsidRPr="00115929">
        <w:t xml:space="preserve">The report of the external examiner of a taught programme </w:t>
      </w:r>
      <w:r w:rsidR="00D57E14">
        <w:t xml:space="preserve">must </w:t>
      </w:r>
      <w:r w:rsidRPr="00115929">
        <w:t xml:space="preserve">be discussed </w:t>
      </w:r>
      <w:r w:rsidR="00D57E14">
        <w:t xml:space="preserve">by </w:t>
      </w:r>
      <w:r w:rsidRPr="00115929">
        <w:t>the Bo</w:t>
      </w:r>
      <w:r w:rsidR="00FF4A73">
        <w:t xml:space="preserve">ard of </w:t>
      </w:r>
      <w:r w:rsidRPr="00115929">
        <w:t>S</w:t>
      </w:r>
      <w:r w:rsidR="00FF4A73">
        <w:t>tudies</w:t>
      </w:r>
      <w:r w:rsidRPr="00115929">
        <w:t xml:space="preserve"> and shared wi</w:t>
      </w:r>
      <w:r w:rsidR="007011B7">
        <w:t>th students through the VLE.</w:t>
      </w:r>
    </w:p>
    <w:p w:rsidR="0093165B" w:rsidRDefault="0093165B" w:rsidP="0093165B">
      <w:pPr>
        <w:pStyle w:val="CoPborderheading"/>
        <w:rPr>
          <w:rFonts w:hint="eastAsia"/>
        </w:rPr>
      </w:pPr>
      <w:bookmarkStart w:id="14" w:name="_Toc393890382"/>
      <w:r>
        <w:t>R</w:t>
      </w:r>
      <w:r w:rsidR="00E9309B">
        <w:rPr>
          <w:rFonts w:hint="eastAsia"/>
        </w:rPr>
        <w:t xml:space="preserve">esponding to </w:t>
      </w:r>
      <w:r w:rsidR="00E9309B">
        <w:t>C</w:t>
      </w:r>
      <w:r w:rsidRPr="004D646B">
        <w:rPr>
          <w:rFonts w:hint="eastAsia"/>
        </w:rPr>
        <w:t>omplaints</w:t>
      </w:r>
      <w:r w:rsidR="00E9309B">
        <w:rPr>
          <w:rFonts w:hint="eastAsia"/>
        </w:rPr>
        <w:t xml:space="preserve"> and </w:t>
      </w:r>
      <w:r w:rsidR="00E9309B">
        <w:t>N</w:t>
      </w:r>
      <w:r w:rsidR="00E9309B">
        <w:rPr>
          <w:rFonts w:hint="eastAsia"/>
        </w:rPr>
        <w:t xml:space="preserve">egative </w:t>
      </w:r>
      <w:r w:rsidR="00E9309B">
        <w:t>F</w:t>
      </w:r>
      <w:r w:rsidRPr="004D646B">
        <w:rPr>
          <w:rFonts w:hint="eastAsia"/>
        </w:rPr>
        <w:t>eedback</w:t>
      </w:r>
      <w:bookmarkEnd w:id="14"/>
    </w:p>
    <w:p w:rsidR="0093165B" w:rsidRDefault="0093165B" w:rsidP="0093165B">
      <w:pPr>
        <w:pStyle w:val="CoPNumberlevel1"/>
      </w:pPr>
      <w:r>
        <w:t>LSTM strives to ensure that students are provided with a high quality educational experience, supported by appropriate academic, administrative and welfare services and facilities</w:t>
      </w:r>
      <w:r w:rsidR="00AB1075">
        <w:t xml:space="preserve">.  </w:t>
      </w:r>
      <w:r w:rsidR="00AB1075" w:rsidRPr="00F97A87">
        <w:t xml:space="preserve">Students </w:t>
      </w:r>
      <w:r w:rsidR="00AB1075">
        <w:t>a</w:t>
      </w:r>
      <w:r w:rsidR="00AB1075" w:rsidRPr="00F97A87">
        <w:t xml:space="preserve">re expected to behave, both within </w:t>
      </w:r>
      <w:r w:rsidR="00AB1075">
        <w:t xml:space="preserve">LSTM </w:t>
      </w:r>
      <w:r w:rsidR="00AB1075" w:rsidRPr="00F97A87">
        <w:t>an</w:t>
      </w:r>
      <w:r w:rsidR="00AB1075">
        <w:t>d outside, in a manner that d</w:t>
      </w:r>
      <w:r w:rsidR="00AB1075" w:rsidRPr="00F97A87">
        <w:t>emonstrates respect for the organisation, its staff, fellow students and property and for other members of the local community.</w:t>
      </w:r>
    </w:p>
    <w:p w:rsidR="00D61E6D" w:rsidRDefault="00CC472D" w:rsidP="00CC472D">
      <w:pPr>
        <w:pStyle w:val="CoPNumberlevel1"/>
      </w:pPr>
      <w:r>
        <w:t xml:space="preserve">If a student wishes to complain about any aspect of </w:t>
      </w:r>
      <w:r w:rsidR="00BB0BE5">
        <w:t xml:space="preserve">his/her experience in LSTM, the </w:t>
      </w:r>
      <w:r w:rsidR="00D61E6D">
        <w:t>following will apply:</w:t>
      </w:r>
    </w:p>
    <w:p w:rsidR="00D61E6D" w:rsidRPr="00D61E6D" w:rsidRDefault="00D61E6D" w:rsidP="00D61E6D">
      <w:pPr>
        <w:pStyle w:val="CoPbullet"/>
        <w:rPr>
          <w:i/>
        </w:rPr>
      </w:pPr>
      <w:r w:rsidRPr="00D61E6D">
        <w:rPr>
          <w:i/>
        </w:rPr>
        <w:t>Procedure for Dealing with Academic Appeals (Taught Programmes)</w:t>
      </w:r>
    </w:p>
    <w:p w:rsidR="00D61E6D" w:rsidRPr="00D61E6D" w:rsidRDefault="00D61E6D" w:rsidP="00D61E6D">
      <w:pPr>
        <w:pStyle w:val="CoPbullet"/>
        <w:rPr>
          <w:i/>
        </w:rPr>
      </w:pPr>
      <w:r w:rsidRPr="00D61E6D">
        <w:rPr>
          <w:i/>
        </w:rPr>
        <w:lastRenderedPageBreak/>
        <w:t>Procedure for Dealing with Academic Appeals (Research Programmes)</w:t>
      </w:r>
    </w:p>
    <w:p w:rsidR="00D61E6D" w:rsidRDefault="00D61E6D" w:rsidP="00D61E6D">
      <w:pPr>
        <w:pStyle w:val="CoPbullet"/>
        <w:rPr>
          <w:i/>
        </w:rPr>
      </w:pPr>
      <w:r w:rsidRPr="00D61E6D">
        <w:rPr>
          <w:i/>
        </w:rPr>
        <w:t xml:space="preserve">Procedure for Dealing with Student Complaints  </w:t>
      </w:r>
    </w:p>
    <w:p w:rsidR="00F77C99" w:rsidRDefault="00F77C99" w:rsidP="00F77C99">
      <w:pPr>
        <w:pStyle w:val="CoPbullet"/>
        <w:numPr>
          <w:ilvl w:val="0"/>
          <w:numId w:val="0"/>
        </w:numPr>
        <w:ind w:left="720"/>
        <w:rPr>
          <w:i/>
        </w:rPr>
      </w:pPr>
    </w:p>
    <w:p w:rsidR="00F77C99" w:rsidRPr="00D61E6D" w:rsidRDefault="00F77C99" w:rsidP="00F77C99">
      <w:pPr>
        <w:pStyle w:val="CoPbullet"/>
        <w:numPr>
          <w:ilvl w:val="0"/>
          <w:numId w:val="0"/>
        </w:numPr>
        <w:ind w:left="720"/>
        <w:rPr>
          <w:i/>
        </w:rPr>
      </w:pPr>
    </w:p>
    <w:p w:rsidR="0093165B" w:rsidRDefault="0093165B" w:rsidP="00D61E6D">
      <w:pPr>
        <w:pStyle w:val="CoPNumberlevel1"/>
        <w:numPr>
          <w:ilvl w:val="0"/>
          <w:numId w:val="0"/>
        </w:numPr>
      </w:pPr>
    </w:p>
    <w:p w:rsidR="00BB0BE5" w:rsidRDefault="00BB0BE5">
      <w:pPr>
        <w:rPr>
          <w:rFonts w:ascii="Arial" w:hAnsi="Arial" w:cs="Arial"/>
        </w:rPr>
      </w:pPr>
      <w:r>
        <w:br w:type="page"/>
      </w:r>
    </w:p>
    <w:tbl>
      <w:tblP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129"/>
        <w:gridCol w:w="1844"/>
        <w:gridCol w:w="5994"/>
      </w:tblGrid>
      <w:tr w:rsidR="00BB0BE5" w:rsidRPr="00853D2A" w:rsidTr="00F82C92">
        <w:trPr>
          <w:trHeight w:val="397"/>
        </w:trPr>
        <w:tc>
          <w:tcPr>
            <w:tcW w:w="5000" w:type="pct"/>
            <w:gridSpan w:val="3"/>
            <w:shd w:val="clear" w:color="auto" w:fill="E5B8B7" w:themeFill="accent2" w:themeFillTint="66"/>
            <w:vAlign w:val="center"/>
            <w:hideMark/>
          </w:tcPr>
          <w:p w:rsidR="00BB0BE5" w:rsidRPr="00805611" w:rsidRDefault="00BB0BE5" w:rsidP="00F82C92">
            <w:pPr>
              <w:pStyle w:val="NoSpacing"/>
              <w:spacing w:before="120" w:after="120"/>
              <w:jc w:val="center"/>
              <w:rPr>
                <w:rFonts w:ascii="Arial" w:hAnsi="Arial" w:cs="Arial"/>
                <w:b/>
                <w:sz w:val="24"/>
                <w:szCs w:val="24"/>
              </w:rPr>
            </w:pPr>
            <w:r>
              <w:rPr>
                <w:rFonts w:ascii="Arial" w:hAnsi="Arial" w:cs="Arial"/>
                <w:b/>
                <w:sz w:val="24"/>
                <w:szCs w:val="24"/>
              </w:rPr>
              <w:lastRenderedPageBreak/>
              <w:t>Annex of Modifications</w:t>
            </w:r>
          </w:p>
        </w:tc>
      </w:tr>
      <w:tr w:rsidR="00BB0BE5" w:rsidRPr="00853D2A" w:rsidTr="00F82C92">
        <w:trPr>
          <w:trHeight w:val="397"/>
        </w:trPr>
        <w:tc>
          <w:tcPr>
            <w:tcW w:w="630" w:type="pct"/>
            <w:vAlign w:val="center"/>
          </w:tcPr>
          <w:p w:rsidR="00BB0BE5" w:rsidRPr="00F76F9B" w:rsidRDefault="00BB0BE5" w:rsidP="00F82C92">
            <w:pPr>
              <w:pStyle w:val="NoSpacing"/>
              <w:spacing w:before="120" w:after="120"/>
              <w:jc w:val="center"/>
              <w:rPr>
                <w:rFonts w:ascii="Arial" w:hAnsi="Arial" w:cs="Arial"/>
                <w:b/>
              </w:rPr>
            </w:pPr>
            <w:r w:rsidRPr="00F76F9B">
              <w:rPr>
                <w:rFonts w:ascii="Arial" w:hAnsi="Arial" w:cs="Arial"/>
                <w:b/>
              </w:rPr>
              <w:t>Version</w:t>
            </w:r>
          </w:p>
        </w:tc>
        <w:tc>
          <w:tcPr>
            <w:tcW w:w="1028" w:type="pct"/>
            <w:vAlign w:val="center"/>
          </w:tcPr>
          <w:p w:rsidR="00BB0BE5" w:rsidRPr="00F76F9B" w:rsidRDefault="00BB0BE5" w:rsidP="00F82C92">
            <w:pPr>
              <w:pStyle w:val="NoSpacing"/>
              <w:spacing w:before="120" w:after="120"/>
              <w:jc w:val="center"/>
              <w:rPr>
                <w:rFonts w:ascii="Arial" w:hAnsi="Arial" w:cs="Arial"/>
                <w:b/>
              </w:rPr>
            </w:pPr>
            <w:r w:rsidRPr="00F76F9B">
              <w:rPr>
                <w:rFonts w:ascii="Arial" w:hAnsi="Arial" w:cs="Arial"/>
                <w:b/>
              </w:rPr>
              <w:t>Date of issue</w:t>
            </w:r>
          </w:p>
        </w:tc>
        <w:tc>
          <w:tcPr>
            <w:tcW w:w="3343" w:type="pct"/>
            <w:vAlign w:val="center"/>
          </w:tcPr>
          <w:p w:rsidR="00BB0BE5" w:rsidRPr="00F76F9B" w:rsidRDefault="00BB0BE5" w:rsidP="00F82C92">
            <w:pPr>
              <w:pStyle w:val="NoSpacing"/>
              <w:spacing w:before="120" w:after="120"/>
              <w:jc w:val="center"/>
              <w:rPr>
                <w:rFonts w:ascii="Arial" w:hAnsi="Arial" w:cs="Arial"/>
                <w:b/>
              </w:rPr>
            </w:pPr>
            <w:r w:rsidRPr="00F76F9B">
              <w:rPr>
                <w:rFonts w:ascii="Arial" w:hAnsi="Arial" w:cs="Arial"/>
                <w:b/>
              </w:rPr>
              <w:t>Details of modification from previous version</w:t>
            </w:r>
          </w:p>
        </w:tc>
      </w:tr>
      <w:tr w:rsidR="00BB0BE5" w:rsidRPr="00853D2A" w:rsidTr="00F82C92">
        <w:trPr>
          <w:trHeight w:val="397"/>
        </w:trPr>
        <w:tc>
          <w:tcPr>
            <w:tcW w:w="630" w:type="pct"/>
            <w:vAlign w:val="center"/>
          </w:tcPr>
          <w:p w:rsidR="00BB0BE5" w:rsidRPr="00805611" w:rsidRDefault="00BB0BE5" w:rsidP="00F82C92">
            <w:pPr>
              <w:pStyle w:val="NoSpacing"/>
              <w:spacing w:before="120" w:after="120"/>
              <w:rPr>
                <w:rFonts w:ascii="Arial" w:hAnsi="Arial" w:cs="Arial"/>
              </w:rPr>
            </w:pPr>
            <w:r>
              <w:rPr>
                <w:rFonts w:ascii="Arial" w:hAnsi="Arial" w:cs="Arial"/>
              </w:rPr>
              <w:t>1.1</w:t>
            </w:r>
          </w:p>
        </w:tc>
        <w:tc>
          <w:tcPr>
            <w:tcW w:w="1028" w:type="pct"/>
            <w:vAlign w:val="center"/>
          </w:tcPr>
          <w:p w:rsidR="00BB0BE5" w:rsidRPr="00805611" w:rsidRDefault="00BB0BE5" w:rsidP="00F82C92">
            <w:pPr>
              <w:pStyle w:val="NoSpacing"/>
              <w:spacing w:before="120" w:after="120"/>
              <w:rPr>
                <w:rFonts w:ascii="Arial" w:hAnsi="Arial" w:cs="Arial"/>
              </w:rPr>
            </w:pPr>
            <w:r>
              <w:rPr>
                <w:rFonts w:ascii="Arial" w:hAnsi="Arial" w:cs="Arial"/>
              </w:rPr>
              <w:t>30.01.15</w:t>
            </w:r>
          </w:p>
        </w:tc>
        <w:tc>
          <w:tcPr>
            <w:tcW w:w="3343" w:type="pct"/>
            <w:vAlign w:val="center"/>
          </w:tcPr>
          <w:p w:rsidR="00BB0BE5" w:rsidRPr="00805611" w:rsidRDefault="00BB0BE5" w:rsidP="00F82C92">
            <w:pPr>
              <w:pStyle w:val="NoSpacing"/>
              <w:spacing w:before="120" w:after="120"/>
              <w:rPr>
                <w:rFonts w:ascii="Arial" w:hAnsi="Arial" w:cs="Arial"/>
              </w:rPr>
            </w:pPr>
            <w:r>
              <w:rPr>
                <w:rFonts w:ascii="Arial" w:hAnsi="Arial" w:cs="Arial"/>
              </w:rPr>
              <w:t>Minor edits following review by Management Committee 29.07.14</w:t>
            </w:r>
          </w:p>
        </w:tc>
      </w:tr>
      <w:tr w:rsidR="00BB0BE5" w:rsidRPr="00853D2A" w:rsidTr="00F82C92">
        <w:trPr>
          <w:trHeight w:val="397"/>
        </w:trPr>
        <w:tc>
          <w:tcPr>
            <w:tcW w:w="630" w:type="pct"/>
            <w:vAlign w:val="center"/>
          </w:tcPr>
          <w:p w:rsidR="00BB0BE5" w:rsidRPr="00805611" w:rsidRDefault="00C31E4A" w:rsidP="00F82C92">
            <w:pPr>
              <w:pStyle w:val="NoSpacing"/>
              <w:spacing w:before="120" w:after="120"/>
              <w:rPr>
                <w:rFonts w:ascii="Arial" w:hAnsi="Arial" w:cs="Arial"/>
              </w:rPr>
            </w:pPr>
            <w:r>
              <w:rPr>
                <w:rFonts w:ascii="Arial" w:hAnsi="Arial" w:cs="Arial"/>
              </w:rPr>
              <w:t>1.2</w:t>
            </w:r>
          </w:p>
        </w:tc>
        <w:tc>
          <w:tcPr>
            <w:tcW w:w="1028" w:type="pct"/>
            <w:vAlign w:val="center"/>
          </w:tcPr>
          <w:p w:rsidR="00BB0BE5" w:rsidRPr="00805611" w:rsidRDefault="00C31E4A" w:rsidP="00F82C92">
            <w:pPr>
              <w:pStyle w:val="NoSpacing"/>
              <w:spacing w:before="120" w:after="120"/>
              <w:rPr>
                <w:rFonts w:ascii="Arial" w:hAnsi="Arial" w:cs="Arial"/>
              </w:rPr>
            </w:pPr>
            <w:r>
              <w:rPr>
                <w:rFonts w:ascii="Arial" w:hAnsi="Arial" w:cs="Arial"/>
              </w:rPr>
              <w:t>11.10.16</w:t>
            </w:r>
          </w:p>
        </w:tc>
        <w:tc>
          <w:tcPr>
            <w:tcW w:w="3343" w:type="pct"/>
            <w:vAlign w:val="center"/>
          </w:tcPr>
          <w:p w:rsidR="00BB0BE5" w:rsidRPr="00805611" w:rsidRDefault="00C31E4A" w:rsidP="00F82C92">
            <w:pPr>
              <w:pStyle w:val="NoSpacing"/>
              <w:spacing w:before="120" w:after="120"/>
              <w:rPr>
                <w:rFonts w:ascii="Arial" w:hAnsi="Arial" w:cs="Arial"/>
              </w:rPr>
            </w:pPr>
            <w:r>
              <w:rPr>
                <w:rFonts w:ascii="Arial" w:hAnsi="Arial" w:cs="Arial"/>
              </w:rPr>
              <w:t>Point 3.2.6 added to incorporate LSTM approach to Prevent policy.</w:t>
            </w:r>
          </w:p>
        </w:tc>
      </w:tr>
      <w:tr w:rsidR="00BB0BE5" w:rsidRPr="00853D2A" w:rsidTr="00F82C92">
        <w:trPr>
          <w:trHeight w:val="397"/>
        </w:trPr>
        <w:tc>
          <w:tcPr>
            <w:tcW w:w="630" w:type="pct"/>
            <w:vAlign w:val="center"/>
          </w:tcPr>
          <w:p w:rsidR="00BB0BE5" w:rsidRPr="00805611" w:rsidRDefault="00F22AC7" w:rsidP="00F82C92">
            <w:pPr>
              <w:pStyle w:val="NoSpacing"/>
              <w:spacing w:before="120" w:after="120"/>
              <w:rPr>
                <w:rFonts w:ascii="Arial" w:hAnsi="Arial" w:cs="Arial"/>
              </w:rPr>
            </w:pPr>
            <w:r>
              <w:rPr>
                <w:rFonts w:ascii="Arial" w:hAnsi="Arial" w:cs="Arial"/>
              </w:rPr>
              <w:t>2.0</w:t>
            </w:r>
          </w:p>
        </w:tc>
        <w:tc>
          <w:tcPr>
            <w:tcW w:w="1028" w:type="pct"/>
            <w:vAlign w:val="center"/>
          </w:tcPr>
          <w:p w:rsidR="00BB0BE5" w:rsidRPr="00805611" w:rsidRDefault="00BB0BE5" w:rsidP="00F82C92">
            <w:pPr>
              <w:pStyle w:val="NoSpacing"/>
              <w:spacing w:before="120" w:after="120"/>
              <w:rPr>
                <w:rFonts w:ascii="Arial" w:hAnsi="Arial" w:cs="Arial"/>
              </w:rPr>
            </w:pPr>
          </w:p>
        </w:tc>
        <w:tc>
          <w:tcPr>
            <w:tcW w:w="3343" w:type="pct"/>
            <w:vAlign w:val="center"/>
          </w:tcPr>
          <w:p w:rsidR="00BB0BE5" w:rsidRDefault="00F22AC7" w:rsidP="00F82C92">
            <w:pPr>
              <w:pStyle w:val="NoSpacing"/>
              <w:spacing w:before="120" w:after="120"/>
              <w:rPr>
                <w:rFonts w:ascii="Arial" w:hAnsi="Arial" w:cs="Arial"/>
              </w:rPr>
            </w:pPr>
            <w:r>
              <w:rPr>
                <w:rFonts w:ascii="Arial" w:hAnsi="Arial" w:cs="Arial"/>
              </w:rPr>
              <w:t>Point 5.1 modified to include MSc student representation on Quality Management Committee</w:t>
            </w:r>
          </w:p>
          <w:p w:rsidR="001809FB" w:rsidRPr="00805611" w:rsidRDefault="001809FB" w:rsidP="00F82C92">
            <w:pPr>
              <w:pStyle w:val="NoSpacing"/>
              <w:spacing w:before="120" w:after="120"/>
              <w:rPr>
                <w:rFonts w:ascii="Arial" w:hAnsi="Arial" w:cs="Arial"/>
              </w:rPr>
            </w:pPr>
          </w:p>
        </w:tc>
      </w:tr>
      <w:tr w:rsidR="00BB0BE5" w:rsidRPr="00853D2A" w:rsidTr="00F82C92">
        <w:trPr>
          <w:trHeight w:val="397"/>
        </w:trPr>
        <w:tc>
          <w:tcPr>
            <w:tcW w:w="630" w:type="pct"/>
            <w:vAlign w:val="center"/>
          </w:tcPr>
          <w:p w:rsidR="00BB0BE5" w:rsidRPr="00805611" w:rsidRDefault="00CE00B4" w:rsidP="00F82C92">
            <w:pPr>
              <w:pStyle w:val="NoSpacing"/>
              <w:spacing w:before="120" w:after="120"/>
              <w:rPr>
                <w:rFonts w:ascii="Arial" w:hAnsi="Arial" w:cs="Arial"/>
              </w:rPr>
            </w:pPr>
            <w:r>
              <w:rPr>
                <w:rFonts w:ascii="Arial" w:hAnsi="Arial" w:cs="Arial"/>
              </w:rPr>
              <w:t>2.1</w:t>
            </w:r>
          </w:p>
        </w:tc>
        <w:tc>
          <w:tcPr>
            <w:tcW w:w="1028" w:type="pct"/>
            <w:vAlign w:val="center"/>
          </w:tcPr>
          <w:p w:rsidR="00BB0BE5" w:rsidRPr="00805611" w:rsidRDefault="00CE00B4" w:rsidP="00F82C92">
            <w:pPr>
              <w:pStyle w:val="NoSpacing"/>
              <w:spacing w:before="120" w:after="120"/>
              <w:rPr>
                <w:rFonts w:ascii="Arial" w:hAnsi="Arial" w:cs="Arial"/>
              </w:rPr>
            </w:pPr>
            <w:r>
              <w:rPr>
                <w:rFonts w:ascii="Arial" w:hAnsi="Arial" w:cs="Arial"/>
              </w:rPr>
              <w:t>30.10.18</w:t>
            </w:r>
          </w:p>
        </w:tc>
        <w:tc>
          <w:tcPr>
            <w:tcW w:w="3343" w:type="pct"/>
            <w:vAlign w:val="center"/>
          </w:tcPr>
          <w:p w:rsidR="00BB0BE5" w:rsidRPr="00805611" w:rsidRDefault="00CE00B4" w:rsidP="00F82C92">
            <w:pPr>
              <w:pStyle w:val="NoSpacing"/>
              <w:spacing w:before="120" w:after="120"/>
              <w:rPr>
                <w:rFonts w:ascii="Arial" w:hAnsi="Arial" w:cs="Arial"/>
              </w:rPr>
            </w:pPr>
            <w:r>
              <w:rPr>
                <w:rFonts w:ascii="Arial" w:hAnsi="Arial" w:cs="Arial"/>
              </w:rPr>
              <w:t>Replace</w:t>
            </w:r>
            <w:r w:rsidR="00FA6D0C">
              <w:rPr>
                <w:rFonts w:ascii="Arial" w:hAnsi="Arial" w:cs="Arial"/>
              </w:rPr>
              <w:t>d</w:t>
            </w:r>
            <w:r>
              <w:rPr>
                <w:rFonts w:ascii="Arial" w:hAnsi="Arial" w:cs="Arial"/>
              </w:rPr>
              <w:t xml:space="preserve"> reference to Director of Education with Dean of Education.</w:t>
            </w:r>
            <w:r w:rsidR="00194A26">
              <w:rPr>
                <w:rFonts w:ascii="Arial" w:hAnsi="Arial" w:cs="Arial"/>
              </w:rPr>
              <w:t xml:space="preserve">  Replaced Research Degrees Administrator with Early Career Researcher Support Unit</w:t>
            </w:r>
          </w:p>
        </w:tc>
      </w:tr>
      <w:tr w:rsidR="00BB0BE5" w:rsidRPr="00853D2A" w:rsidTr="00F82C92">
        <w:trPr>
          <w:trHeight w:val="397"/>
        </w:trPr>
        <w:tc>
          <w:tcPr>
            <w:tcW w:w="630" w:type="pct"/>
            <w:vAlign w:val="center"/>
          </w:tcPr>
          <w:p w:rsidR="00BB0BE5" w:rsidRPr="00805611" w:rsidRDefault="00BB0BE5" w:rsidP="00F82C92">
            <w:pPr>
              <w:pStyle w:val="NoSpacing"/>
              <w:spacing w:before="120" w:after="120"/>
              <w:rPr>
                <w:rFonts w:ascii="Arial" w:hAnsi="Arial" w:cs="Arial"/>
              </w:rPr>
            </w:pPr>
          </w:p>
        </w:tc>
        <w:tc>
          <w:tcPr>
            <w:tcW w:w="1028" w:type="pct"/>
            <w:vAlign w:val="center"/>
          </w:tcPr>
          <w:p w:rsidR="00BB0BE5" w:rsidRPr="00805611" w:rsidRDefault="00BB0BE5" w:rsidP="00F82C92">
            <w:pPr>
              <w:pStyle w:val="NoSpacing"/>
              <w:spacing w:before="120" w:after="120"/>
              <w:rPr>
                <w:rFonts w:ascii="Arial" w:hAnsi="Arial" w:cs="Arial"/>
              </w:rPr>
            </w:pPr>
          </w:p>
        </w:tc>
        <w:tc>
          <w:tcPr>
            <w:tcW w:w="3343" w:type="pct"/>
            <w:vAlign w:val="center"/>
          </w:tcPr>
          <w:p w:rsidR="00BB0BE5" w:rsidRPr="00805611" w:rsidRDefault="00BB0BE5" w:rsidP="00F82C92">
            <w:pPr>
              <w:pStyle w:val="NoSpacing"/>
              <w:spacing w:before="120" w:after="120"/>
              <w:rPr>
                <w:rFonts w:ascii="Arial" w:hAnsi="Arial" w:cs="Arial"/>
              </w:rPr>
            </w:pPr>
          </w:p>
        </w:tc>
      </w:tr>
    </w:tbl>
    <w:p w:rsidR="00BB0BE5" w:rsidRDefault="00BB0BE5" w:rsidP="00BB0BE5">
      <w:pPr>
        <w:pStyle w:val="CoPNumberlevel1"/>
        <w:numPr>
          <w:ilvl w:val="0"/>
          <w:numId w:val="0"/>
        </w:numPr>
        <w:ind w:left="680"/>
      </w:pPr>
    </w:p>
    <w:p w:rsidR="00A1295D" w:rsidRDefault="00CC472D" w:rsidP="00A1295D">
      <w:pPr>
        <w:pStyle w:val="CoPbodytext"/>
      </w:pPr>
      <w:r>
        <w:t xml:space="preserve"> </w:t>
      </w:r>
    </w:p>
    <w:p w:rsidR="00A1295D" w:rsidRPr="00A1295D" w:rsidRDefault="00A1295D" w:rsidP="00A1295D">
      <w:pPr>
        <w:pStyle w:val="CoPbodytext"/>
      </w:pPr>
    </w:p>
    <w:sectPr w:rsidR="00A1295D" w:rsidRPr="00A1295D" w:rsidSect="00805611">
      <w:footerReference w:type="default" r:id="rId9"/>
      <w:pgSz w:w="11906" w:h="16838"/>
      <w:pgMar w:top="1418" w:right="1190" w:bottom="851" w:left="1701" w:header="709" w:footer="4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D47" w:rsidRDefault="00EB5D47" w:rsidP="00E21955">
      <w:pPr>
        <w:spacing w:after="0" w:line="240" w:lineRule="auto"/>
      </w:pPr>
      <w:r>
        <w:separator/>
      </w:r>
    </w:p>
  </w:endnote>
  <w:endnote w:type="continuationSeparator" w:id="0">
    <w:p w:rsidR="00EB5D47" w:rsidRDefault="00EB5D47" w:rsidP="00E2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FB" w:rsidRDefault="005709FB" w:rsidP="00CA5861">
    <w:pPr>
      <w:pStyle w:val="Footer"/>
      <w:rPr>
        <w:rFonts w:ascii="Arial" w:hAnsi="Arial" w:cs="Arial"/>
        <w:sz w:val="16"/>
        <w:szCs w:val="16"/>
      </w:rPr>
    </w:pPr>
  </w:p>
  <w:p w:rsidR="005709FB" w:rsidRPr="007E0F79" w:rsidRDefault="005030D6" w:rsidP="00CA5861">
    <w:pPr>
      <w:pStyle w:val="Footer"/>
      <w:rPr>
        <w:rFonts w:ascii="Arial" w:hAnsi="Arial" w:cs="Arial"/>
        <w:sz w:val="16"/>
        <w:szCs w:val="16"/>
      </w:rPr>
    </w:pPr>
    <w:r>
      <w:rPr>
        <w:rFonts w:ascii="Arial" w:hAnsi="Arial" w:cs="Arial"/>
        <w:sz w:val="16"/>
        <w:szCs w:val="16"/>
      </w:rPr>
      <w:t xml:space="preserve">Version: </w:t>
    </w:r>
    <w:r w:rsidR="002B0DC3">
      <w:rPr>
        <w:rFonts w:ascii="Arial" w:hAnsi="Arial" w:cs="Arial"/>
        <w:sz w:val="16"/>
        <w:szCs w:val="16"/>
      </w:rPr>
      <w:t>2.</w:t>
    </w:r>
    <w:r w:rsidR="00992A11">
      <w:rPr>
        <w:rFonts w:ascii="Arial" w:hAnsi="Arial" w:cs="Arial"/>
        <w:sz w:val="16"/>
        <w:szCs w:val="16"/>
      </w:rPr>
      <w:t>1</w:t>
    </w:r>
  </w:p>
  <w:p w:rsidR="00680749" w:rsidRPr="00680749" w:rsidRDefault="005709FB" w:rsidP="00680749">
    <w:pPr>
      <w:pStyle w:val="Footer"/>
      <w:rPr>
        <w:rFonts w:ascii="Arial" w:hAnsi="Arial" w:cs="Arial"/>
        <w:sz w:val="16"/>
        <w:szCs w:val="16"/>
      </w:rPr>
    </w:pPr>
    <w:r w:rsidRPr="00680749">
      <w:rPr>
        <w:rFonts w:ascii="Arial" w:hAnsi="Arial" w:cs="Arial"/>
        <w:sz w:val="16"/>
        <w:szCs w:val="16"/>
      </w:rPr>
      <w:t xml:space="preserve">Code of Practice on </w:t>
    </w:r>
    <w:r w:rsidR="00680749" w:rsidRPr="00680749">
      <w:rPr>
        <w:rFonts w:ascii="Arial" w:hAnsi="Arial" w:cs="Arial"/>
        <w:sz w:val="16"/>
        <w:szCs w:val="16"/>
      </w:rPr>
      <w:t>Student Engagement and Enhancing the Student Experience</w:t>
    </w:r>
  </w:p>
  <w:p w:rsidR="005709FB" w:rsidRPr="00AC7F89" w:rsidRDefault="005030D6" w:rsidP="00680749">
    <w:pPr>
      <w:pStyle w:val="Footer"/>
      <w:tabs>
        <w:tab w:val="clear" w:pos="4513"/>
        <w:tab w:val="center" w:pos="8931"/>
      </w:tabs>
      <w:rPr>
        <w:rFonts w:ascii="Arial" w:hAnsi="Arial" w:cs="Arial"/>
        <w:sz w:val="16"/>
        <w:szCs w:val="16"/>
      </w:rPr>
    </w:pPr>
    <w:r w:rsidRPr="00680749">
      <w:rPr>
        <w:rFonts w:ascii="Arial" w:hAnsi="Arial" w:cs="Arial"/>
        <w:sz w:val="16"/>
        <w:szCs w:val="16"/>
      </w:rPr>
      <w:t xml:space="preserve">Date </w:t>
    </w:r>
    <w:r w:rsidR="00BB0BE5">
      <w:rPr>
        <w:rFonts w:ascii="Arial" w:hAnsi="Arial" w:cs="Arial"/>
        <w:sz w:val="16"/>
        <w:szCs w:val="16"/>
      </w:rPr>
      <w:t>issued:</w:t>
    </w:r>
    <w:r w:rsidR="00992A11">
      <w:rPr>
        <w:rFonts w:ascii="Arial" w:hAnsi="Arial" w:cs="Arial"/>
        <w:sz w:val="16"/>
        <w:szCs w:val="16"/>
      </w:rPr>
      <w:t xml:space="preserve">  1.2.19</w:t>
    </w:r>
    <w:r w:rsidR="005709FB" w:rsidRPr="00680749">
      <w:rPr>
        <w:rFonts w:ascii="Arial" w:hAnsi="Arial" w:cs="Arial"/>
        <w:sz w:val="16"/>
        <w:szCs w:val="16"/>
      </w:rPr>
      <w:tab/>
    </w:r>
    <w:sdt>
      <w:sdtPr>
        <w:rPr>
          <w:rFonts w:ascii="Arial" w:hAnsi="Arial" w:cs="Arial"/>
          <w:sz w:val="16"/>
          <w:szCs w:val="16"/>
        </w:rPr>
        <w:id w:val="8401930"/>
        <w:docPartObj>
          <w:docPartGallery w:val="Page Numbers (Top of Page)"/>
          <w:docPartUnique/>
        </w:docPartObj>
      </w:sdtPr>
      <w:sdtEndPr/>
      <w:sdtContent>
        <w:r w:rsidR="005709FB" w:rsidRPr="007E0F79">
          <w:rPr>
            <w:rFonts w:ascii="Arial" w:hAnsi="Arial" w:cs="Arial"/>
            <w:sz w:val="16"/>
            <w:szCs w:val="16"/>
          </w:rPr>
          <w:t xml:space="preserve">Page </w:t>
        </w:r>
        <w:r w:rsidR="005709FB" w:rsidRPr="007E0F79">
          <w:rPr>
            <w:rFonts w:ascii="Arial" w:hAnsi="Arial" w:cs="Arial"/>
            <w:sz w:val="16"/>
            <w:szCs w:val="16"/>
          </w:rPr>
          <w:fldChar w:fldCharType="begin"/>
        </w:r>
        <w:r w:rsidR="005709FB" w:rsidRPr="007E0F79">
          <w:rPr>
            <w:rFonts w:ascii="Arial" w:hAnsi="Arial" w:cs="Arial"/>
            <w:sz w:val="16"/>
            <w:szCs w:val="16"/>
          </w:rPr>
          <w:instrText xml:space="preserve"> PAGE </w:instrText>
        </w:r>
        <w:r w:rsidR="005709FB" w:rsidRPr="007E0F79">
          <w:rPr>
            <w:rFonts w:ascii="Arial" w:hAnsi="Arial" w:cs="Arial"/>
            <w:sz w:val="16"/>
            <w:szCs w:val="16"/>
          </w:rPr>
          <w:fldChar w:fldCharType="separate"/>
        </w:r>
        <w:r w:rsidR="004418C6">
          <w:rPr>
            <w:rFonts w:ascii="Arial" w:hAnsi="Arial" w:cs="Arial"/>
            <w:noProof/>
            <w:sz w:val="16"/>
            <w:szCs w:val="16"/>
          </w:rPr>
          <w:t>9</w:t>
        </w:r>
        <w:r w:rsidR="005709FB" w:rsidRPr="007E0F79">
          <w:rPr>
            <w:rFonts w:ascii="Arial" w:hAnsi="Arial" w:cs="Arial"/>
            <w:sz w:val="16"/>
            <w:szCs w:val="16"/>
          </w:rPr>
          <w:fldChar w:fldCharType="end"/>
        </w:r>
        <w:r w:rsidR="005709FB" w:rsidRPr="007E0F79">
          <w:rPr>
            <w:rFonts w:ascii="Arial" w:hAnsi="Arial" w:cs="Arial"/>
            <w:sz w:val="16"/>
            <w:szCs w:val="16"/>
          </w:rPr>
          <w:t xml:space="preserve"> of </w:t>
        </w:r>
        <w:r w:rsidR="005709FB" w:rsidRPr="007E0F79">
          <w:rPr>
            <w:rFonts w:ascii="Arial" w:hAnsi="Arial" w:cs="Arial"/>
            <w:sz w:val="16"/>
            <w:szCs w:val="16"/>
          </w:rPr>
          <w:fldChar w:fldCharType="begin"/>
        </w:r>
        <w:r w:rsidR="005709FB" w:rsidRPr="007E0F79">
          <w:rPr>
            <w:rFonts w:ascii="Arial" w:hAnsi="Arial" w:cs="Arial"/>
            <w:sz w:val="16"/>
            <w:szCs w:val="16"/>
          </w:rPr>
          <w:instrText xml:space="preserve"> NUMPAGES  </w:instrText>
        </w:r>
        <w:r w:rsidR="005709FB" w:rsidRPr="007E0F79">
          <w:rPr>
            <w:rFonts w:ascii="Arial" w:hAnsi="Arial" w:cs="Arial"/>
            <w:sz w:val="16"/>
            <w:szCs w:val="16"/>
          </w:rPr>
          <w:fldChar w:fldCharType="separate"/>
        </w:r>
        <w:r w:rsidR="004418C6">
          <w:rPr>
            <w:rFonts w:ascii="Arial" w:hAnsi="Arial" w:cs="Arial"/>
            <w:noProof/>
            <w:sz w:val="16"/>
            <w:szCs w:val="16"/>
          </w:rPr>
          <w:t>9</w:t>
        </w:r>
        <w:r w:rsidR="005709FB" w:rsidRPr="007E0F79">
          <w:rPr>
            <w:rFonts w:ascii="Arial" w:hAnsi="Arial" w:cs="Arial"/>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D47" w:rsidRDefault="00EB5D47" w:rsidP="00E21955">
      <w:pPr>
        <w:spacing w:after="0" w:line="240" w:lineRule="auto"/>
      </w:pPr>
      <w:r>
        <w:separator/>
      </w:r>
    </w:p>
  </w:footnote>
  <w:footnote w:type="continuationSeparator" w:id="0">
    <w:p w:rsidR="00EB5D47" w:rsidRDefault="00EB5D47" w:rsidP="00E2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D20E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3A3E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264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3895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86E0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422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788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B2E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7A99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7CDA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04782"/>
    <w:multiLevelType w:val="hybridMultilevel"/>
    <w:tmpl w:val="D6A2879C"/>
    <w:lvl w:ilvl="0" w:tplc="0D80289C">
      <w:numFmt w:val="bullet"/>
      <w:pStyle w:val="CoPbullet"/>
      <w:lvlText w:val="•"/>
      <w:lvlJc w:val="left"/>
      <w:pPr>
        <w:ind w:left="720" w:hanging="360"/>
      </w:pPr>
      <w:rPr>
        <w:rFonts w:ascii="Arial" w:eastAsia="Arial" w:hAnsi="Arial" w:hint="default"/>
        <w:color w:val="231F20"/>
        <w:w w:val="1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186BFB"/>
    <w:multiLevelType w:val="multilevel"/>
    <w:tmpl w:val="E410ED56"/>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2C326B"/>
    <w:multiLevelType w:val="hybridMultilevel"/>
    <w:tmpl w:val="FE7CA40E"/>
    <w:lvl w:ilvl="0" w:tplc="24EE2F80">
      <w:start w:val="1"/>
      <w:numFmt w:val="decimal"/>
      <w:lvlText w:val="%1"/>
      <w:lvlJc w:val="left"/>
      <w:pPr>
        <w:ind w:left="360" w:hanging="360"/>
      </w:pPr>
      <w:rPr>
        <w:rFonts w:ascii="Arial" w:hAnsi="Arial" w:hint="default"/>
        <w:b/>
        <w:i w:val="0"/>
        <w:color w:val="943634" w:themeColor="accent2" w:themeShade="BF"/>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7A30005"/>
    <w:multiLevelType w:val="hybridMultilevel"/>
    <w:tmpl w:val="F3EA20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B57FD3"/>
    <w:multiLevelType w:val="hybridMultilevel"/>
    <w:tmpl w:val="13983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9A3D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2D17C5"/>
    <w:multiLevelType w:val="multilevel"/>
    <w:tmpl w:val="CB4A4C1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7" w15:restartNumberingAfterBreak="0">
    <w:nsid w:val="55432529"/>
    <w:multiLevelType w:val="multilevel"/>
    <w:tmpl w:val="A22AC4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994978"/>
    <w:multiLevelType w:val="hybridMultilevel"/>
    <w:tmpl w:val="8D3E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3500FF"/>
    <w:multiLevelType w:val="multilevel"/>
    <w:tmpl w:val="1B4E02EC"/>
    <w:lvl w:ilvl="0">
      <w:start w:val="1"/>
      <w:numFmt w:val="decimal"/>
      <w:pStyle w:val="CoPborderheading"/>
      <w:lvlText w:val="%1"/>
      <w:lvlJc w:val="left"/>
      <w:pPr>
        <w:ind w:left="360" w:hanging="360"/>
      </w:pPr>
      <w:rPr>
        <w:rFonts w:hint="default"/>
      </w:rPr>
    </w:lvl>
    <w:lvl w:ilvl="1">
      <w:start w:val="1"/>
      <w:numFmt w:val="decimal"/>
      <w:pStyle w:val="Style1"/>
      <w:isLgl/>
      <w:lvlText w:val="%1.%2"/>
      <w:lvlJc w:val="left"/>
      <w:pPr>
        <w:ind w:left="1277" w:hanging="567"/>
      </w:pPr>
      <w:rPr>
        <w:rFonts w:ascii="Arial" w:hAnsi="Arial" w:hint="default"/>
        <w:spacing w:val="0"/>
        <w:sz w:val="22"/>
      </w:rPr>
    </w:lvl>
    <w:lvl w:ilvl="2">
      <w:start w:val="1"/>
      <w:numFmt w:val="decimal"/>
      <w:pStyle w:val="CoPNumberlevel2"/>
      <w:isLgl/>
      <w:lvlText w:val="%1.%2.%3"/>
      <w:lvlJc w:val="left"/>
      <w:pPr>
        <w:ind w:left="1418" w:hanging="851"/>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E441C8E"/>
    <w:multiLevelType w:val="hybridMultilevel"/>
    <w:tmpl w:val="AE54636A"/>
    <w:lvl w:ilvl="0" w:tplc="47423404">
      <w:start w:val="1"/>
      <w:numFmt w:val="decimal"/>
      <w:pStyle w:val="CoP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5094BB0"/>
    <w:multiLevelType w:val="multilevel"/>
    <w:tmpl w:val="0CD221D4"/>
    <w:lvl w:ilvl="0">
      <w:start w:val="1"/>
      <w:numFmt w:val="decimal"/>
      <w:pStyle w:val="CoPSubHea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BC2396"/>
    <w:multiLevelType w:val="hybridMultilevel"/>
    <w:tmpl w:val="B5CA758C"/>
    <w:lvl w:ilvl="0" w:tplc="E5AA3976">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691513B7"/>
    <w:multiLevelType w:val="multilevel"/>
    <w:tmpl w:val="A22AC4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FFC5ACE"/>
    <w:multiLevelType w:val="multilevel"/>
    <w:tmpl w:val="A22AC4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3717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9C4920"/>
    <w:multiLevelType w:val="hybridMultilevel"/>
    <w:tmpl w:val="35705D7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7" w15:restartNumberingAfterBreak="0">
    <w:nsid w:val="7C324D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4119C4"/>
    <w:multiLevelType w:val="hybridMultilevel"/>
    <w:tmpl w:val="ED3A8244"/>
    <w:lvl w:ilvl="0" w:tplc="06740D60">
      <w:start w:val="1"/>
      <w:numFmt w:val="decimal"/>
      <w:pStyle w:val="HeadingListStyle"/>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28"/>
  </w:num>
  <w:num w:numId="3">
    <w:abstractNumId w:val="14"/>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1"/>
  </w:num>
  <w:num w:numId="20">
    <w:abstractNumId w:val="21"/>
  </w:num>
  <w:num w:numId="21">
    <w:abstractNumId w:val="12"/>
  </w:num>
  <w:num w:numId="22">
    <w:abstractNumId w:val="18"/>
  </w:num>
  <w:num w:numId="23">
    <w:abstractNumId w:val="22"/>
  </w:num>
  <w:num w:numId="24">
    <w:abstractNumId w:val="19"/>
  </w:num>
  <w:num w:numId="25">
    <w:abstractNumId w:val="27"/>
  </w:num>
  <w:num w:numId="26">
    <w:abstractNumId w:val="15"/>
  </w:num>
  <w:num w:numId="27">
    <w:abstractNumId w:val="23"/>
  </w:num>
  <w:num w:numId="28">
    <w:abstractNumId w:val="17"/>
  </w:num>
  <w:num w:numId="29">
    <w:abstractNumId w:val="24"/>
  </w:num>
  <w:num w:numId="30">
    <w:abstractNumId w:val="13"/>
  </w:num>
  <w:num w:numId="31">
    <w:abstractNumId w:val="25"/>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0"/>
  </w:num>
  <w:num w:numId="39">
    <w:abstractNumId w:val="11"/>
  </w:num>
  <w:num w:numId="40">
    <w:abstractNumId w:val="19"/>
  </w:num>
  <w:num w:numId="41">
    <w:abstractNumId w:val="1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57"/>
  <w:drawingGridVerticalSpacing w:val="170"/>
  <w:characterSpacingControl w:val="doNotCompress"/>
  <w:hdrShapeDefaults>
    <o:shapedefaults v:ext="edit" spidmax="1843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F85"/>
    <w:rsid w:val="0001790B"/>
    <w:rsid w:val="00025E4F"/>
    <w:rsid w:val="00034B7F"/>
    <w:rsid w:val="000406D1"/>
    <w:rsid w:val="00054E1B"/>
    <w:rsid w:val="00063E00"/>
    <w:rsid w:val="0007797E"/>
    <w:rsid w:val="00080E11"/>
    <w:rsid w:val="00084650"/>
    <w:rsid w:val="000964AF"/>
    <w:rsid w:val="00097C03"/>
    <w:rsid w:val="000B3F85"/>
    <w:rsid w:val="000C31EB"/>
    <w:rsid w:val="000D5CE3"/>
    <w:rsid w:val="000D7265"/>
    <w:rsid w:val="000E03EC"/>
    <w:rsid w:val="000F6406"/>
    <w:rsid w:val="00104AA4"/>
    <w:rsid w:val="00111CE8"/>
    <w:rsid w:val="00115929"/>
    <w:rsid w:val="00132F50"/>
    <w:rsid w:val="00141FBA"/>
    <w:rsid w:val="00143707"/>
    <w:rsid w:val="001439DC"/>
    <w:rsid w:val="001471C6"/>
    <w:rsid w:val="00151302"/>
    <w:rsid w:val="001536BF"/>
    <w:rsid w:val="00176069"/>
    <w:rsid w:val="00177BE0"/>
    <w:rsid w:val="001809FB"/>
    <w:rsid w:val="00185C41"/>
    <w:rsid w:val="00185CE3"/>
    <w:rsid w:val="00194A26"/>
    <w:rsid w:val="00196210"/>
    <w:rsid w:val="001A046A"/>
    <w:rsid w:val="001B05D9"/>
    <w:rsid w:val="001B3D26"/>
    <w:rsid w:val="001E773B"/>
    <w:rsid w:val="001E7FE3"/>
    <w:rsid w:val="001F34CD"/>
    <w:rsid w:val="0020508F"/>
    <w:rsid w:val="00212A09"/>
    <w:rsid w:val="002162FB"/>
    <w:rsid w:val="00231E73"/>
    <w:rsid w:val="0023410E"/>
    <w:rsid w:val="00254AE6"/>
    <w:rsid w:val="002555C8"/>
    <w:rsid w:val="00273A05"/>
    <w:rsid w:val="00276B97"/>
    <w:rsid w:val="00285202"/>
    <w:rsid w:val="002A2C51"/>
    <w:rsid w:val="002B0DC3"/>
    <w:rsid w:val="002B160C"/>
    <w:rsid w:val="002B64D3"/>
    <w:rsid w:val="002C2D7F"/>
    <w:rsid w:val="002C7E71"/>
    <w:rsid w:val="002D3179"/>
    <w:rsid w:val="002E5C2F"/>
    <w:rsid w:val="002E6B50"/>
    <w:rsid w:val="002F663B"/>
    <w:rsid w:val="002F73D7"/>
    <w:rsid w:val="00314FED"/>
    <w:rsid w:val="00315094"/>
    <w:rsid w:val="0032454A"/>
    <w:rsid w:val="0033564F"/>
    <w:rsid w:val="00340EE0"/>
    <w:rsid w:val="003451D3"/>
    <w:rsid w:val="00347D48"/>
    <w:rsid w:val="0035302D"/>
    <w:rsid w:val="003608E2"/>
    <w:rsid w:val="003773EF"/>
    <w:rsid w:val="00384F14"/>
    <w:rsid w:val="00397BDB"/>
    <w:rsid w:val="003C05BC"/>
    <w:rsid w:val="003C5E2D"/>
    <w:rsid w:val="003E328F"/>
    <w:rsid w:val="003E5663"/>
    <w:rsid w:val="003F3483"/>
    <w:rsid w:val="0042383C"/>
    <w:rsid w:val="004250EE"/>
    <w:rsid w:val="00432753"/>
    <w:rsid w:val="004418C6"/>
    <w:rsid w:val="004578E1"/>
    <w:rsid w:val="00481740"/>
    <w:rsid w:val="00482D75"/>
    <w:rsid w:val="004A23B1"/>
    <w:rsid w:val="004A47FC"/>
    <w:rsid w:val="004A6EE4"/>
    <w:rsid w:val="004B5C73"/>
    <w:rsid w:val="004B602A"/>
    <w:rsid w:val="004D0A9E"/>
    <w:rsid w:val="004E42D6"/>
    <w:rsid w:val="005030D6"/>
    <w:rsid w:val="005121B5"/>
    <w:rsid w:val="00521FC0"/>
    <w:rsid w:val="00524EB3"/>
    <w:rsid w:val="00546972"/>
    <w:rsid w:val="0055578F"/>
    <w:rsid w:val="005575D9"/>
    <w:rsid w:val="00560E9E"/>
    <w:rsid w:val="00564B29"/>
    <w:rsid w:val="005709FB"/>
    <w:rsid w:val="0057702A"/>
    <w:rsid w:val="00580465"/>
    <w:rsid w:val="005A0E8C"/>
    <w:rsid w:val="005B391F"/>
    <w:rsid w:val="005B5683"/>
    <w:rsid w:val="005C7B3B"/>
    <w:rsid w:val="005E0570"/>
    <w:rsid w:val="005E6CE6"/>
    <w:rsid w:val="005E7A45"/>
    <w:rsid w:val="006113B5"/>
    <w:rsid w:val="00611736"/>
    <w:rsid w:val="00627DB8"/>
    <w:rsid w:val="00631080"/>
    <w:rsid w:val="00660E0A"/>
    <w:rsid w:val="00662AC8"/>
    <w:rsid w:val="006707CC"/>
    <w:rsid w:val="0067281F"/>
    <w:rsid w:val="00680749"/>
    <w:rsid w:val="00692970"/>
    <w:rsid w:val="00692B99"/>
    <w:rsid w:val="006D03D3"/>
    <w:rsid w:val="006D3DD5"/>
    <w:rsid w:val="006E23DD"/>
    <w:rsid w:val="006E6266"/>
    <w:rsid w:val="006F6F52"/>
    <w:rsid w:val="007011B7"/>
    <w:rsid w:val="00702214"/>
    <w:rsid w:val="0070301E"/>
    <w:rsid w:val="00721544"/>
    <w:rsid w:val="00724BBC"/>
    <w:rsid w:val="00725CB0"/>
    <w:rsid w:val="007306DA"/>
    <w:rsid w:val="007368C8"/>
    <w:rsid w:val="00752CEA"/>
    <w:rsid w:val="007569D7"/>
    <w:rsid w:val="007826FE"/>
    <w:rsid w:val="00784DD2"/>
    <w:rsid w:val="007876BC"/>
    <w:rsid w:val="00793D41"/>
    <w:rsid w:val="007A30E4"/>
    <w:rsid w:val="007A6D84"/>
    <w:rsid w:val="007D067D"/>
    <w:rsid w:val="007E21FE"/>
    <w:rsid w:val="007E31E1"/>
    <w:rsid w:val="008044CD"/>
    <w:rsid w:val="00805611"/>
    <w:rsid w:val="00815CD2"/>
    <w:rsid w:val="008313BA"/>
    <w:rsid w:val="008442A6"/>
    <w:rsid w:val="00846190"/>
    <w:rsid w:val="00846FB2"/>
    <w:rsid w:val="0084788E"/>
    <w:rsid w:val="00853D2A"/>
    <w:rsid w:val="008630EF"/>
    <w:rsid w:val="008735C2"/>
    <w:rsid w:val="008754FB"/>
    <w:rsid w:val="00875752"/>
    <w:rsid w:val="00876075"/>
    <w:rsid w:val="008A1BBE"/>
    <w:rsid w:val="008A7588"/>
    <w:rsid w:val="008B6CFC"/>
    <w:rsid w:val="008E3E61"/>
    <w:rsid w:val="008F6960"/>
    <w:rsid w:val="0090725D"/>
    <w:rsid w:val="00915038"/>
    <w:rsid w:val="009179A8"/>
    <w:rsid w:val="00920550"/>
    <w:rsid w:val="0092740C"/>
    <w:rsid w:val="00927467"/>
    <w:rsid w:val="0093165B"/>
    <w:rsid w:val="00966547"/>
    <w:rsid w:val="00974334"/>
    <w:rsid w:val="009768AE"/>
    <w:rsid w:val="00981629"/>
    <w:rsid w:val="0098423E"/>
    <w:rsid w:val="009873CE"/>
    <w:rsid w:val="00992A11"/>
    <w:rsid w:val="0099600C"/>
    <w:rsid w:val="009A6C91"/>
    <w:rsid w:val="009B10B3"/>
    <w:rsid w:val="009B62E2"/>
    <w:rsid w:val="009D1568"/>
    <w:rsid w:val="009D2E67"/>
    <w:rsid w:val="009D72B1"/>
    <w:rsid w:val="009E3855"/>
    <w:rsid w:val="009E4D81"/>
    <w:rsid w:val="009E6586"/>
    <w:rsid w:val="009F24BF"/>
    <w:rsid w:val="00A00166"/>
    <w:rsid w:val="00A123C5"/>
    <w:rsid w:val="00A1295D"/>
    <w:rsid w:val="00A456D2"/>
    <w:rsid w:val="00A625AB"/>
    <w:rsid w:val="00A708BF"/>
    <w:rsid w:val="00A85A11"/>
    <w:rsid w:val="00A85B07"/>
    <w:rsid w:val="00A91F8A"/>
    <w:rsid w:val="00A9402C"/>
    <w:rsid w:val="00A96C21"/>
    <w:rsid w:val="00A97BF3"/>
    <w:rsid w:val="00AB1075"/>
    <w:rsid w:val="00AB7772"/>
    <w:rsid w:val="00AD0B66"/>
    <w:rsid w:val="00AD446E"/>
    <w:rsid w:val="00AD5BB5"/>
    <w:rsid w:val="00AE4F1A"/>
    <w:rsid w:val="00AE7468"/>
    <w:rsid w:val="00AF57E6"/>
    <w:rsid w:val="00B11C69"/>
    <w:rsid w:val="00B17C8A"/>
    <w:rsid w:val="00B313B4"/>
    <w:rsid w:val="00B34036"/>
    <w:rsid w:val="00B34628"/>
    <w:rsid w:val="00B368F1"/>
    <w:rsid w:val="00B438A5"/>
    <w:rsid w:val="00B81A46"/>
    <w:rsid w:val="00B93797"/>
    <w:rsid w:val="00BB0BE5"/>
    <w:rsid w:val="00BB2003"/>
    <w:rsid w:val="00BB3562"/>
    <w:rsid w:val="00BB7E56"/>
    <w:rsid w:val="00BB7FFC"/>
    <w:rsid w:val="00BC4E98"/>
    <w:rsid w:val="00BE79EA"/>
    <w:rsid w:val="00C0017B"/>
    <w:rsid w:val="00C001F3"/>
    <w:rsid w:val="00C040BE"/>
    <w:rsid w:val="00C11613"/>
    <w:rsid w:val="00C31E4A"/>
    <w:rsid w:val="00C356B9"/>
    <w:rsid w:val="00C616E1"/>
    <w:rsid w:val="00C64B92"/>
    <w:rsid w:val="00C659A9"/>
    <w:rsid w:val="00C7558A"/>
    <w:rsid w:val="00C8024F"/>
    <w:rsid w:val="00C828AE"/>
    <w:rsid w:val="00C8558A"/>
    <w:rsid w:val="00C91E32"/>
    <w:rsid w:val="00C922ED"/>
    <w:rsid w:val="00C92AEA"/>
    <w:rsid w:val="00C934D2"/>
    <w:rsid w:val="00CA2CD7"/>
    <w:rsid w:val="00CA33D3"/>
    <w:rsid w:val="00CA5861"/>
    <w:rsid w:val="00CC472D"/>
    <w:rsid w:val="00CE00B4"/>
    <w:rsid w:val="00D23717"/>
    <w:rsid w:val="00D35BAE"/>
    <w:rsid w:val="00D4060F"/>
    <w:rsid w:val="00D47BFE"/>
    <w:rsid w:val="00D47F02"/>
    <w:rsid w:val="00D55889"/>
    <w:rsid w:val="00D57E14"/>
    <w:rsid w:val="00D61E6D"/>
    <w:rsid w:val="00D6697B"/>
    <w:rsid w:val="00D806D7"/>
    <w:rsid w:val="00D8619E"/>
    <w:rsid w:val="00DA34D4"/>
    <w:rsid w:val="00DB06B6"/>
    <w:rsid w:val="00DB0EE7"/>
    <w:rsid w:val="00DC2FBD"/>
    <w:rsid w:val="00DC5F0B"/>
    <w:rsid w:val="00DD4890"/>
    <w:rsid w:val="00DE1BD1"/>
    <w:rsid w:val="00DE2B7E"/>
    <w:rsid w:val="00DE3B53"/>
    <w:rsid w:val="00DF0C7F"/>
    <w:rsid w:val="00DF6889"/>
    <w:rsid w:val="00E02DF0"/>
    <w:rsid w:val="00E03F1F"/>
    <w:rsid w:val="00E06115"/>
    <w:rsid w:val="00E061A5"/>
    <w:rsid w:val="00E16DC4"/>
    <w:rsid w:val="00E21955"/>
    <w:rsid w:val="00E2635D"/>
    <w:rsid w:val="00E434E9"/>
    <w:rsid w:val="00E43E6B"/>
    <w:rsid w:val="00E46E15"/>
    <w:rsid w:val="00E565B9"/>
    <w:rsid w:val="00E61E3F"/>
    <w:rsid w:val="00E70CF1"/>
    <w:rsid w:val="00E84CDC"/>
    <w:rsid w:val="00E90991"/>
    <w:rsid w:val="00E92B0F"/>
    <w:rsid w:val="00E9309B"/>
    <w:rsid w:val="00EA6BBC"/>
    <w:rsid w:val="00EB19C8"/>
    <w:rsid w:val="00EB5D47"/>
    <w:rsid w:val="00EC2C7C"/>
    <w:rsid w:val="00ED1585"/>
    <w:rsid w:val="00ED4A53"/>
    <w:rsid w:val="00F016CD"/>
    <w:rsid w:val="00F05987"/>
    <w:rsid w:val="00F2189C"/>
    <w:rsid w:val="00F22AC7"/>
    <w:rsid w:val="00F22E6A"/>
    <w:rsid w:val="00F23114"/>
    <w:rsid w:val="00F30E62"/>
    <w:rsid w:val="00F55604"/>
    <w:rsid w:val="00F6711B"/>
    <w:rsid w:val="00F70E21"/>
    <w:rsid w:val="00F71102"/>
    <w:rsid w:val="00F77C99"/>
    <w:rsid w:val="00F93752"/>
    <w:rsid w:val="00FA091E"/>
    <w:rsid w:val="00FA6D0C"/>
    <w:rsid w:val="00FA77A8"/>
    <w:rsid w:val="00FC5ABB"/>
    <w:rsid w:val="00FD7516"/>
    <w:rsid w:val="00FF116C"/>
    <w:rsid w:val="00FF1CE7"/>
    <w:rsid w:val="00FF22DA"/>
    <w:rsid w:val="00FF4A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1C0F371F"/>
  <w15:docId w15:val="{5694193B-0580-4C77-B321-123441BB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F8A"/>
  </w:style>
  <w:style w:type="paragraph" w:styleId="Heading1">
    <w:name w:val="heading 1"/>
    <w:basedOn w:val="Normal"/>
    <w:next w:val="Normal"/>
    <w:link w:val="Heading1Char"/>
    <w:uiPriority w:val="9"/>
    <w:qFormat/>
    <w:rsid w:val="00966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65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65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A53"/>
    <w:rPr>
      <w:color w:val="0000FF" w:themeColor="hyperlink"/>
      <w:u w:val="single"/>
    </w:rPr>
  </w:style>
  <w:style w:type="paragraph" w:styleId="NoSpacing">
    <w:name w:val="No Spacing"/>
    <w:link w:val="NoSpacingChar"/>
    <w:uiPriority w:val="1"/>
    <w:qFormat/>
    <w:rsid w:val="00ED4A53"/>
    <w:pPr>
      <w:spacing w:after="0" w:line="240" w:lineRule="auto"/>
    </w:pPr>
    <w:rPr>
      <w:rFonts w:eastAsiaTheme="minorHAnsi"/>
      <w:lang w:eastAsia="en-US"/>
    </w:rPr>
  </w:style>
  <w:style w:type="paragraph" w:styleId="ListParagraph">
    <w:name w:val="List Paragraph"/>
    <w:basedOn w:val="Normal"/>
    <w:link w:val="ListParagraphChar"/>
    <w:uiPriority w:val="34"/>
    <w:qFormat/>
    <w:rsid w:val="00ED4A53"/>
    <w:pPr>
      <w:ind w:left="720"/>
      <w:contextualSpacing/>
    </w:pPr>
  </w:style>
  <w:style w:type="paragraph" w:customStyle="1" w:styleId="Default">
    <w:name w:val="Default"/>
    <w:rsid w:val="00ED4A5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ED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A53"/>
    <w:rPr>
      <w:rFonts w:eastAsiaTheme="minorHAnsi"/>
      <w:lang w:eastAsia="en-US"/>
    </w:rPr>
  </w:style>
  <w:style w:type="paragraph" w:styleId="Footer">
    <w:name w:val="footer"/>
    <w:basedOn w:val="Normal"/>
    <w:link w:val="FooterChar"/>
    <w:unhideWhenUsed/>
    <w:rsid w:val="00ED4A53"/>
    <w:pPr>
      <w:tabs>
        <w:tab w:val="center" w:pos="4513"/>
        <w:tab w:val="right" w:pos="9026"/>
      </w:tabs>
      <w:spacing w:after="0" w:line="240" w:lineRule="auto"/>
    </w:pPr>
  </w:style>
  <w:style w:type="character" w:customStyle="1" w:styleId="FooterChar">
    <w:name w:val="Footer Char"/>
    <w:basedOn w:val="DefaultParagraphFont"/>
    <w:link w:val="Footer"/>
    <w:rsid w:val="00ED4A53"/>
    <w:rPr>
      <w:rFonts w:eastAsiaTheme="minorHAnsi"/>
      <w:lang w:eastAsia="en-US"/>
    </w:rPr>
  </w:style>
  <w:style w:type="character" w:customStyle="1" w:styleId="NoSpacingChar">
    <w:name w:val="No Spacing Char"/>
    <w:basedOn w:val="DefaultParagraphFont"/>
    <w:link w:val="NoSpacing"/>
    <w:uiPriority w:val="1"/>
    <w:locked/>
    <w:rsid w:val="00ED4A53"/>
    <w:rPr>
      <w:rFonts w:eastAsiaTheme="minorHAnsi"/>
      <w:lang w:eastAsia="en-US"/>
    </w:rPr>
  </w:style>
  <w:style w:type="paragraph" w:styleId="TOC1">
    <w:name w:val="toc 1"/>
    <w:basedOn w:val="CoPborderheading"/>
    <w:next w:val="Normal"/>
    <w:autoRedefine/>
    <w:uiPriority w:val="39"/>
    <w:unhideWhenUsed/>
    <w:rsid w:val="008754FB"/>
    <w:pPr>
      <w:keepNext w:val="0"/>
      <w:keepLines w:val="0"/>
      <w:numPr>
        <w:numId w:val="0"/>
      </w:numPr>
      <w:pBdr>
        <w:top w:val="none" w:sz="0" w:space="0" w:color="auto"/>
        <w:bottom w:val="none" w:sz="0" w:space="0" w:color="auto"/>
      </w:pBdr>
      <w:tabs>
        <w:tab w:val="left" w:pos="709"/>
        <w:tab w:val="left" w:pos="1560"/>
        <w:tab w:val="right" w:pos="9005"/>
      </w:tabs>
      <w:autoSpaceDE/>
      <w:autoSpaceDN/>
      <w:adjustRightInd/>
      <w:spacing w:before="240" w:after="240" w:line="276" w:lineRule="auto"/>
      <w:jc w:val="left"/>
    </w:pPr>
    <w:rPr>
      <w:rFonts w:ascii="Arial" w:hAnsi="Arial"/>
      <w:b w:val="0"/>
      <w:noProof/>
      <w:color w:val="auto"/>
      <w:sz w:val="28"/>
    </w:rPr>
  </w:style>
  <w:style w:type="paragraph" w:customStyle="1" w:styleId="HeadingListStyle">
    <w:name w:val="Heading List Style"/>
    <w:basedOn w:val="ListParagraph"/>
    <w:qFormat/>
    <w:rsid w:val="00ED4A53"/>
    <w:pPr>
      <w:numPr>
        <w:numId w:val="2"/>
      </w:numPr>
      <w:autoSpaceDE w:val="0"/>
      <w:autoSpaceDN w:val="0"/>
      <w:adjustRightInd w:val="0"/>
      <w:spacing w:after="0" w:line="240" w:lineRule="auto"/>
      <w:jc w:val="both"/>
    </w:pPr>
    <w:rPr>
      <w:rFonts w:ascii="Arial" w:hAnsi="Arial" w:cs="Arial"/>
      <w:b/>
      <w:bCs/>
      <w:color w:val="000000"/>
      <w:sz w:val="20"/>
      <w:szCs w:val="20"/>
      <w:u w:val="single"/>
    </w:rPr>
  </w:style>
  <w:style w:type="paragraph" w:customStyle="1" w:styleId="CoPHeading1">
    <w:name w:val="CoP Heading 1"/>
    <w:basedOn w:val="ListParagraph"/>
    <w:rsid w:val="00ED4A53"/>
    <w:pPr>
      <w:keepNext/>
      <w:numPr>
        <w:numId w:val="4"/>
      </w:numPr>
      <w:spacing w:before="360" w:after="40" w:line="240" w:lineRule="auto"/>
      <w:ind w:left="570" w:hanging="570"/>
      <w:contextualSpacing w:val="0"/>
    </w:pPr>
    <w:rPr>
      <w:rFonts w:ascii="Arial" w:hAnsi="Arial" w:cs="Arial"/>
      <w:b/>
      <w:color w:val="943634" w:themeColor="accent2" w:themeShade="BF"/>
      <w:sz w:val="24"/>
      <w:szCs w:val="24"/>
      <w:lang w:eastAsia="zh-CN"/>
    </w:rPr>
  </w:style>
  <w:style w:type="paragraph" w:styleId="Title">
    <w:name w:val="Title"/>
    <w:basedOn w:val="Normal"/>
    <w:next w:val="Normal"/>
    <w:link w:val="TitleChar"/>
    <w:uiPriority w:val="10"/>
    <w:qFormat/>
    <w:rsid w:val="001760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D4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53"/>
    <w:rPr>
      <w:rFonts w:ascii="Tahoma" w:eastAsiaTheme="minorHAnsi" w:hAnsi="Tahoma" w:cs="Tahoma"/>
      <w:sz w:val="16"/>
      <w:szCs w:val="16"/>
      <w:lang w:eastAsia="en-US"/>
    </w:rPr>
  </w:style>
  <w:style w:type="paragraph" w:customStyle="1" w:styleId="CoPborderheading">
    <w:name w:val="CoP border heading"/>
    <w:basedOn w:val="Normal"/>
    <w:autoRedefine/>
    <w:qFormat/>
    <w:rsid w:val="00846FB2"/>
    <w:pPr>
      <w:keepNext/>
      <w:keepLines/>
      <w:numPr>
        <w:numId w:val="24"/>
      </w:numPr>
      <w:pBdr>
        <w:top w:val="single" w:sz="4" w:space="9" w:color="943634" w:themeColor="accent2" w:themeShade="BF"/>
        <w:bottom w:val="single" w:sz="4" w:space="9" w:color="943634" w:themeColor="accent2" w:themeShade="BF"/>
      </w:pBdr>
      <w:autoSpaceDE w:val="0"/>
      <w:autoSpaceDN w:val="0"/>
      <w:adjustRightInd w:val="0"/>
      <w:spacing w:before="600" w:after="0" w:line="240" w:lineRule="auto"/>
      <w:jc w:val="both"/>
    </w:pPr>
    <w:rPr>
      <w:rFonts w:ascii="Arial Bold" w:hAnsi="Arial Bold" w:cs="Arial"/>
      <w:b/>
      <w:bCs/>
      <w:color w:val="943634" w:themeColor="accent2" w:themeShade="BF"/>
      <w:sz w:val="24"/>
      <w:szCs w:val="28"/>
    </w:rPr>
  </w:style>
  <w:style w:type="paragraph" w:customStyle="1" w:styleId="CoPv2Heading">
    <w:name w:val="CoP v2 Heading"/>
    <w:basedOn w:val="Normal"/>
    <w:autoRedefine/>
    <w:qFormat/>
    <w:rsid w:val="00CA5861"/>
    <w:pPr>
      <w:keepNext/>
      <w:spacing w:after="0" w:line="240" w:lineRule="auto"/>
      <w:ind w:left="573" w:hanging="573"/>
    </w:pPr>
    <w:rPr>
      <w:rFonts w:ascii="Arial" w:hAnsi="Arial" w:cs="Arial"/>
      <w:b/>
      <w:color w:val="943634" w:themeColor="accent2" w:themeShade="BF"/>
      <w:sz w:val="24"/>
      <w:szCs w:val="24"/>
      <w:lang w:eastAsia="zh-CN"/>
    </w:rPr>
  </w:style>
  <w:style w:type="paragraph" w:customStyle="1" w:styleId="CoPbodytext">
    <w:name w:val="CoP body text"/>
    <w:basedOn w:val="Normal"/>
    <w:qFormat/>
    <w:rsid w:val="00D23717"/>
    <w:pPr>
      <w:autoSpaceDE w:val="0"/>
      <w:autoSpaceDN w:val="0"/>
      <w:adjustRightInd w:val="0"/>
      <w:spacing w:before="240" w:after="240"/>
      <w:jc w:val="both"/>
    </w:pPr>
    <w:rPr>
      <w:rFonts w:ascii="Arial" w:eastAsia="Times New Roman" w:hAnsi="Arial" w:cs="Arial"/>
      <w:color w:val="000000"/>
    </w:rPr>
  </w:style>
  <w:style w:type="paragraph" w:customStyle="1" w:styleId="CoPbullet">
    <w:name w:val="CoP bullet"/>
    <w:basedOn w:val="ListBullet"/>
    <w:link w:val="CoPbulletChar"/>
    <w:qFormat/>
    <w:rsid w:val="004A23B1"/>
    <w:pPr>
      <w:numPr>
        <w:numId w:val="38"/>
      </w:numPr>
      <w:autoSpaceDE w:val="0"/>
      <w:autoSpaceDN w:val="0"/>
      <w:adjustRightInd w:val="0"/>
      <w:spacing w:before="120" w:after="120" w:line="240" w:lineRule="auto"/>
      <w:ind w:right="346"/>
      <w:contextualSpacing w:val="0"/>
      <w:jc w:val="both"/>
    </w:pPr>
    <w:rPr>
      <w:rFonts w:ascii="Arial" w:hAnsi="Arial" w:cs="Arial"/>
    </w:rPr>
  </w:style>
  <w:style w:type="character" w:customStyle="1" w:styleId="Heading1Char">
    <w:name w:val="Heading 1 Char"/>
    <w:basedOn w:val="DefaultParagraphFont"/>
    <w:link w:val="Heading1"/>
    <w:uiPriority w:val="9"/>
    <w:rsid w:val="0096654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96654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966547"/>
    <w:rPr>
      <w:rFonts w:asciiTheme="majorHAnsi" w:eastAsiaTheme="majorEastAsia" w:hAnsiTheme="majorHAnsi" w:cstheme="majorBidi"/>
      <w:b/>
      <w:bCs/>
      <w:color w:val="4F81BD" w:themeColor="accent1"/>
      <w:lang w:eastAsia="en-US"/>
    </w:rPr>
  </w:style>
  <w:style w:type="paragraph" w:customStyle="1" w:styleId="CoPSubHead">
    <w:name w:val="CoP SubHead"/>
    <w:basedOn w:val="CoPbullet"/>
    <w:link w:val="CoPSubHeadChar"/>
    <w:rsid w:val="00920550"/>
    <w:pPr>
      <w:numPr>
        <w:numId w:val="19"/>
      </w:numPr>
      <w:spacing w:before="480"/>
    </w:pPr>
    <w:rPr>
      <w:b/>
      <w:color w:val="943634" w:themeColor="accent2" w:themeShade="BF"/>
    </w:rPr>
  </w:style>
  <w:style w:type="paragraph" w:styleId="TOC2">
    <w:name w:val="toc 2"/>
    <w:basedOn w:val="Style1"/>
    <w:next w:val="Normal"/>
    <w:autoRedefine/>
    <w:uiPriority w:val="39"/>
    <w:unhideWhenUsed/>
    <w:rsid w:val="009E4D81"/>
    <w:pPr>
      <w:numPr>
        <w:ilvl w:val="0"/>
        <w:numId w:val="0"/>
      </w:numPr>
      <w:spacing w:before="120" w:after="0"/>
      <w:ind w:left="220"/>
      <w:contextualSpacing w:val="0"/>
    </w:pPr>
    <w:rPr>
      <w:rFonts w:asciiTheme="minorHAnsi" w:hAnsiTheme="minorHAnsi" w:cstheme="minorBidi"/>
      <w:i/>
      <w:iCs/>
      <w:sz w:val="20"/>
      <w:szCs w:val="20"/>
    </w:rPr>
  </w:style>
  <w:style w:type="character" w:customStyle="1" w:styleId="CoPbulletChar">
    <w:name w:val="CoP bullet Char"/>
    <w:basedOn w:val="DefaultParagraphFont"/>
    <w:link w:val="CoPbullet"/>
    <w:rsid w:val="004A23B1"/>
    <w:rPr>
      <w:rFonts w:ascii="Arial" w:hAnsi="Arial" w:cs="Arial"/>
    </w:rPr>
  </w:style>
  <w:style w:type="character" w:customStyle="1" w:styleId="CoPSubHeadChar">
    <w:name w:val="CoP SubHead Char"/>
    <w:basedOn w:val="CoPbulletChar"/>
    <w:link w:val="CoPSubHead"/>
    <w:rsid w:val="00920550"/>
    <w:rPr>
      <w:rFonts w:ascii="Arial" w:eastAsiaTheme="minorHAnsi" w:hAnsi="Arial" w:cs="Arial"/>
      <w:lang w:eastAsia="en-US"/>
    </w:rPr>
  </w:style>
  <w:style w:type="paragraph" w:styleId="FootnoteText">
    <w:name w:val="footnote text"/>
    <w:basedOn w:val="Normal"/>
    <w:link w:val="FootnoteTextChar"/>
    <w:uiPriority w:val="99"/>
    <w:semiHidden/>
    <w:unhideWhenUsed/>
    <w:rsid w:val="00611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3B5"/>
    <w:rPr>
      <w:rFonts w:eastAsiaTheme="minorHAnsi"/>
      <w:sz w:val="20"/>
      <w:szCs w:val="20"/>
      <w:lang w:eastAsia="en-US"/>
    </w:rPr>
  </w:style>
  <w:style w:type="character" w:styleId="FootnoteReference">
    <w:name w:val="footnote reference"/>
    <w:basedOn w:val="DefaultParagraphFont"/>
    <w:uiPriority w:val="99"/>
    <w:semiHidden/>
    <w:unhideWhenUsed/>
    <w:rsid w:val="006113B5"/>
    <w:rPr>
      <w:vertAlign w:val="superscript"/>
    </w:rPr>
  </w:style>
  <w:style w:type="character" w:styleId="CommentReference">
    <w:name w:val="annotation reference"/>
    <w:basedOn w:val="DefaultParagraphFont"/>
    <w:unhideWhenUsed/>
    <w:rsid w:val="00315094"/>
    <w:rPr>
      <w:sz w:val="16"/>
      <w:szCs w:val="16"/>
    </w:rPr>
  </w:style>
  <w:style w:type="paragraph" w:styleId="CommentText">
    <w:name w:val="annotation text"/>
    <w:basedOn w:val="Normal"/>
    <w:link w:val="CommentTextChar"/>
    <w:unhideWhenUsed/>
    <w:rsid w:val="00315094"/>
    <w:pPr>
      <w:spacing w:line="240" w:lineRule="auto"/>
    </w:pPr>
    <w:rPr>
      <w:sz w:val="20"/>
      <w:szCs w:val="20"/>
    </w:rPr>
  </w:style>
  <w:style w:type="character" w:customStyle="1" w:styleId="CommentTextChar">
    <w:name w:val="Comment Text Char"/>
    <w:basedOn w:val="DefaultParagraphFont"/>
    <w:link w:val="CommentText"/>
    <w:rsid w:val="00315094"/>
    <w:rPr>
      <w:sz w:val="20"/>
      <w:szCs w:val="20"/>
    </w:rPr>
  </w:style>
  <w:style w:type="paragraph" w:styleId="CommentSubject">
    <w:name w:val="annotation subject"/>
    <w:basedOn w:val="CommentText"/>
    <w:next w:val="CommentText"/>
    <w:link w:val="CommentSubjectChar"/>
    <w:uiPriority w:val="99"/>
    <w:semiHidden/>
    <w:unhideWhenUsed/>
    <w:rsid w:val="00315094"/>
    <w:rPr>
      <w:b/>
      <w:bCs/>
    </w:rPr>
  </w:style>
  <w:style w:type="character" w:customStyle="1" w:styleId="CommentSubjectChar">
    <w:name w:val="Comment Subject Char"/>
    <w:basedOn w:val="CommentTextChar"/>
    <w:link w:val="CommentSubject"/>
    <w:uiPriority w:val="99"/>
    <w:semiHidden/>
    <w:rsid w:val="00315094"/>
    <w:rPr>
      <w:b/>
      <w:bCs/>
      <w:sz w:val="20"/>
      <w:szCs w:val="20"/>
    </w:rPr>
  </w:style>
  <w:style w:type="character" w:styleId="FollowedHyperlink">
    <w:name w:val="FollowedHyperlink"/>
    <w:basedOn w:val="DefaultParagraphFont"/>
    <w:uiPriority w:val="99"/>
    <w:semiHidden/>
    <w:unhideWhenUsed/>
    <w:rsid w:val="00E92B0F"/>
    <w:rPr>
      <w:color w:val="800080" w:themeColor="followedHyperlink"/>
      <w:u w:val="single"/>
    </w:rPr>
  </w:style>
  <w:style w:type="paragraph" w:customStyle="1" w:styleId="Style1">
    <w:name w:val="Style1"/>
    <w:basedOn w:val="ListParagraph"/>
    <w:link w:val="Style1Char"/>
    <w:qFormat/>
    <w:rsid w:val="00A96C21"/>
    <w:pPr>
      <w:numPr>
        <w:ilvl w:val="1"/>
        <w:numId w:val="24"/>
      </w:numPr>
    </w:pPr>
    <w:rPr>
      <w:rFonts w:ascii="Arial" w:hAnsi="Arial" w:cs="Arial"/>
    </w:rPr>
  </w:style>
  <w:style w:type="character" w:customStyle="1" w:styleId="ListParagraphChar">
    <w:name w:val="List Paragraph Char"/>
    <w:basedOn w:val="DefaultParagraphFont"/>
    <w:link w:val="ListParagraph"/>
    <w:uiPriority w:val="34"/>
    <w:rsid w:val="00A96C21"/>
  </w:style>
  <w:style w:type="character" w:customStyle="1" w:styleId="Style1Char">
    <w:name w:val="Style1 Char"/>
    <w:basedOn w:val="ListParagraphChar"/>
    <w:link w:val="Style1"/>
    <w:rsid w:val="00A96C21"/>
    <w:rPr>
      <w:rFonts w:ascii="Arial" w:hAnsi="Arial" w:cs="Arial"/>
    </w:rPr>
  </w:style>
  <w:style w:type="paragraph" w:customStyle="1" w:styleId="expandinner">
    <w:name w:val="expandinner"/>
    <w:basedOn w:val="Normal"/>
    <w:rsid w:val="00FA091E"/>
    <w:pPr>
      <w:spacing w:after="360" w:line="240" w:lineRule="auto"/>
    </w:pPr>
    <w:rPr>
      <w:rFonts w:ascii="Times New Roman" w:eastAsia="Times New Roman" w:hAnsi="Times New Roman" w:cs="Times New Roman"/>
      <w:sz w:val="19"/>
      <w:szCs w:val="19"/>
    </w:rPr>
  </w:style>
  <w:style w:type="character" w:customStyle="1" w:styleId="TitleChar">
    <w:name w:val="Title Char"/>
    <w:basedOn w:val="DefaultParagraphFont"/>
    <w:link w:val="Title"/>
    <w:uiPriority w:val="10"/>
    <w:rsid w:val="00176069"/>
    <w:rPr>
      <w:rFonts w:asciiTheme="majorHAnsi" w:eastAsiaTheme="majorEastAsia" w:hAnsiTheme="majorHAnsi" w:cstheme="majorBidi"/>
      <w:color w:val="17365D" w:themeColor="text2" w:themeShade="BF"/>
      <w:spacing w:val="5"/>
      <w:kern w:val="28"/>
      <w:sz w:val="52"/>
      <w:szCs w:val="52"/>
    </w:rPr>
  </w:style>
  <w:style w:type="paragraph" w:customStyle="1" w:styleId="Style2">
    <w:name w:val="Style2"/>
    <w:basedOn w:val="TOC3"/>
    <w:qFormat/>
    <w:rsid w:val="00662AC8"/>
    <w:pPr>
      <w:numPr>
        <w:ilvl w:val="2"/>
        <w:numId w:val="24"/>
      </w:numPr>
    </w:pPr>
  </w:style>
  <w:style w:type="paragraph" w:styleId="TOC3">
    <w:name w:val="toc 3"/>
    <w:basedOn w:val="CoPNumberlevel2"/>
    <w:next w:val="Normal"/>
    <w:autoRedefine/>
    <w:uiPriority w:val="39"/>
    <w:unhideWhenUsed/>
    <w:rsid w:val="00662AC8"/>
    <w:pPr>
      <w:numPr>
        <w:ilvl w:val="0"/>
        <w:numId w:val="0"/>
      </w:numPr>
      <w:spacing w:before="0" w:after="0"/>
      <w:ind w:left="440"/>
    </w:pPr>
    <w:rPr>
      <w:rFonts w:asciiTheme="minorHAnsi" w:hAnsiTheme="minorHAnsi" w:cstheme="minorBidi"/>
      <w:sz w:val="20"/>
      <w:szCs w:val="20"/>
    </w:rPr>
  </w:style>
  <w:style w:type="paragraph" w:styleId="TOCHeading">
    <w:name w:val="TOC Heading"/>
    <w:basedOn w:val="Heading1"/>
    <w:next w:val="Normal"/>
    <w:uiPriority w:val="39"/>
    <w:semiHidden/>
    <w:unhideWhenUsed/>
    <w:qFormat/>
    <w:rsid w:val="00662AC8"/>
    <w:pPr>
      <w:outlineLvl w:val="9"/>
    </w:pPr>
    <w:rPr>
      <w:lang w:val="en-US" w:eastAsia="ja-JP"/>
    </w:rPr>
  </w:style>
  <w:style w:type="paragraph" w:customStyle="1" w:styleId="CoPNumberlevel1">
    <w:name w:val="CoP Number level 1"/>
    <w:basedOn w:val="Style1"/>
    <w:qFormat/>
    <w:rsid w:val="00846FB2"/>
    <w:pPr>
      <w:spacing w:before="240" w:after="120"/>
      <w:ind w:left="680" w:hanging="680"/>
      <w:contextualSpacing w:val="0"/>
    </w:pPr>
  </w:style>
  <w:style w:type="paragraph" w:customStyle="1" w:styleId="CoPNumberlevel2">
    <w:name w:val="CoP Number level 2"/>
    <w:basedOn w:val="Style1"/>
    <w:qFormat/>
    <w:rsid w:val="00846FB2"/>
    <w:pPr>
      <w:numPr>
        <w:ilvl w:val="2"/>
      </w:numPr>
      <w:spacing w:before="120" w:after="240"/>
      <w:ind w:left="1644" w:hanging="964"/>
      <w:contextualSpacing w:val="0"/>
    </w:pPr>
  </w:style>
  <w:style w:type="paragraph" w:styleId="TOC4">
    <w:name w:val="toc 4"/>
    <w:basedOn w:val="Normal"/>
    <w:next w:val="Normal"/>
    <w:autoRedefine/>
    <w:uiPriority w:val="39"/>
    <w:unhideWhenUsed/>
    <w:rsid w:val="00876075"/>
    <w:pPr>
      <w:spacing w:after="0"/>
      <w:ind w:left="660"/>
    </w:pPr>
    <w:rPr>
      <w:sz w:val="20"/>
      <w:szCs w:val="20"/>
    </w:rPr>
  </w:style>
  <w:style w:type="paragraph" w:styleId="TOC5">
    <w:name w:val="toc 5"/>
    <w:basedOn w:val="Normal"/>
    <w:next w:val="Normal"/>
    <w:autoRedefine/>
    <w:uiPriority w:val="39"/>
    <w:unhideWhenUsed/>
    <w:rsid w:val="00876075"/>
    <w:pPr>
      <w:spacing w:after="0"/>
      <w:ind w:left="880"/>
    </w:pPr>
    <w:rPr>
      <w:sz w:val="20"/>
      <w:szCs w:val="20"/>
    </w:rPr>
  </w:style>
  <w:style w:type="paragraph" w:styleId="TOC6">
    <w:name w:val="toc 6"/>
    <w:basedOn w:val="Normal"/>
    <w:next w:val="Normal"/>
    <w:autoRedefine/>
    <w:uiPriority w:val="39"/>
    <w:unhideWhenUsed/>
    <w:rsid w:val="00876075"/>
    <w:pPr>
      <w:spacing w:after="0"/>
      <w:ind w:left="1100"/>
    </w:pPr>
    <w:rPr>
      <w:sz w:val="20"/>
      <w:szCs w:val="20"/>
    </w:rPr>
  </w:style>
  <w:style w:type="paragraph" w:styleId="TOC7">
    <w:name w:val="toc 7"/>
    <w:basedOn w:val="Normal"/>
    <w:next w:val="Normal"/>
    <w:autoRedefine/>
    <w:uiPriority w:val="39"/>
    <w:unhideWhenUsed/>
    <w:rsid w:val="00876075"/>
    <w:pPr>
      <w:spacing w:after="0"/>
      <w:ind w:left="1320"/>
    </w:pPr>
    <w:rPr>
      <w:sz w:val="20"/>
      <w:szCs w:val="20"/>
    </w:rPr>
  </w:style>
  <w:style w:type="paragraph" w:styleId="TOC8">
    <w:name w:val="toc 8"/>
    <w:basedOn w:val="Normal"/>
    <w:next w:val="Normal"/>
    <w:autoRedefine/>
    <w:uiPriority w:val="39"/>
    <w:unhideWhenUsed/>
    <w:rsid w:val="00876075"/>
    <w:pPr>
      <w:spacing w:after="0"/>
      <w:ind w:left="1540"/>
    </w:pPr>
    <w:rPr>
      <w:sz w:val="20"/>
      <w:szCs w:val="20"/>
    </w:rPr>
  </w:style>
  <w:style w:type="paragraph" w:styleId="TOC9">
    <w:name w:val="toc 9"/>
    <w:basedOn w:val="Normal"/>
    <w:next w:val="Normal"/>
    <w:autoRedefine/>
    <w:uiPriority w:val="39"/>
    <w:unhideWhenUsed/>
    <w:rsid w:val="00876075"/>
    <w:pPr>
      <w:spacing w:after="0"/>
      <w:ind w:left="1760"/>
    </w:pPr>
    <w:rPr>
      <w:sz w:val="20"/>
      <w:szCs w:val="20"/>
    </w:rPr>
  </w:style>
  <w:style w:type="paragraph" w:styleId="ListBullet">
    <w:name w:val="List Bullet"/>
    <w:basedOn w:val="Normal"/>
    <w:uiPriority w:val="99"/>
    <w:semiHidden/>
    <w:unhideWhenUsed/>
    <w:rsid w:val="00876075"/>
    <w:pPr>
      <w:numPr>
        <w:numId w:val="5"/>
      </w:numPr>
      <w:contextualSpacing/>
    </w:pPr>
  </w:style>
  <w:style w:type="character" w:customStyle="1" w:styleId="A4">
    <w:name w:val="A4"/>
    <w:uiPriority w:val="99"/>
    <w:rsid w:val="004A23B1"/>
    <w:rPr>
      <w:color w:val="000000"/>
      <w:sz w:val="23"/>
      <w:szCs w:val="23"/>
    </w:rPr>
  </w:style>
  <w:style w:type="paragraph" w:customStyle="1" w:styleId="Style3">
    <w:name w:val="Style3"/>
    <w:basedOn w:val="Style2"/>
    <w:link w:val="Style3Char"/>
    <w:qFormat/>
    <w:rsid w:val="00D8619E"/>
    <w:pPr>
      <w:numPr>
        <w:ilvl w:val="0"/>
        <w:numId w:val="0"/>
      </w:numPr>
      <w:spacing w:line="240" w:lineRule="auto"/>
      <w:ind w:left="1224" w:hanging="504"/>
      <w:outlineLvl w:val="0"/>
    </w:pPr>
    <w:rPr>
      <w:rFonts w:ascii="Arial" w:hAnsi="Arial" w:cs="Arial"/>
      <w:sz w:val="22"/>
      <w:szCs w:val="22"/>
      <w:lang w:eastAsia="zh-CN"/>
    </w:rPr>
  </w:style>
  <w:style w:type="paragraph" w:customStyle="1" w:styleId="Style4">
    <w:name w:val="Style4"/>
    <w:basedOn w:val="Style2"/>
    <w:link w:val="Style4Char"/>
    <w:qFormat/>
    <w:rsid w:val="00D8619E"/>
    <w:pPr>
      <w:numPr>
        <w:ilvl w:val="1"/>
      </w:numPr>
      <w:spacing w:line="240" w:lineRule="auto"/>
      <w:ind w:left="709" w:hanging="709"/>
      <w:outlineLvl w:val="0"/>
    </w:pPr>
    <w:rPr>
      <w:rFonts w:ascii="Arial" w:hAnsi="Arial" w:cs="Arial"/>
      <w:sz w:val="22"/>
      <w:szCs w:val="22"/>
      <w:lang w:eastAsia="zh-CN"/>
    </w:rPr>
  </w:style>
  <w:style w:type="character" w:customStyle="1" w:styleId="Style3Char">
    <w:name w:val="Style3 Char"/>
    <w:basedOn w:val="DefaultParagraphFont"/>
    <w:link w:val="Style3"/>
    <w:rsid w:val="00D8619E"/>
    <w:rPr>
      <w:rFonts w:ascii="Arial" w:hAnsi="Arial" w:cs="Arial"/>
      <w:lang w:eastAsia="zh-CN"/>
    </w:rPr>
  </w:style>
  <w:style w:type="paragraph" w:customStyle="1" w:styleId="Style5">
    <w:name w:val="Style5"/>
    <w:basedOn w:val="Heading1"/>
    <w:link w:val="Style5Char"/>
    <w:qFormat/>
    <w:rsid w:val="00D8619E"/>
    <w:pPr>
      <w:keepNext w:val="0"/>
      <w:keepLines w:val="0"/>
      <w:spacing w:before="360" w:line="240" w:lineRule="auto"/>
      <w:ind w:left="426" w:hanging="426"/>
    </w:pPr>
    <w:rPr>
      <w:rFonts w:ascii="Arial" w:eastAsia="Times New Roman" w:hAnsi="Arial" w:cs="Arial"/>
      <w:bCs w:val="0"/>
      <w:color w:val="auto"/>
      <w:sz w:val="24"/>
      <w:szCs w:val="24"/>
      <w:lang w:eastAsia="en-US"/>
    </w:rPr>
  </w:style>
  <w:style w:type="character" w:customStyle="1" w:styleId="Style4Char">
    <w:name w:val="Style4 Char"/>
    <w:basedOn w:val="DefaultParagraphFont"/>
    <w:link w:val="Style4"/>
    <w:rsid w:val="00D8619E"/>
    <w:rPr>
      <w:rFonts w:ascii="Arial" w:hAnsi="Arial" w:cs="Arial"/>
      <w:lang w:eastAsia="zh-CN"/>
    </w:rPr>
  </w:style>
  <w:style w:type="character" w:customStyle="1" w:styleId="Style5Char">
    <w:name w:val="Style5 Char"/>
    <w:basedOn w:val="Heading1Char"/>
    <w:link w:val="Style5"/>
    <w:rsid w:val="00A625AB"/>
    <w:rPr>
      <w:rFonts w:ascii="Arial" w:eastAsia="Times New Roman" w:hAnsi="Arial" w:cs="Arial"/>
      <w:b/>
      <w:bCs w:val="0"/>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64063">
      <w:bodyDiv w:val="1"/>
      <w:marLeft w:val="0"/>
      <w:marRight w:val="0"/>
      <w:marTop w:val="0"/>
      <w:marBottom w:val="0"/>
      <w:divBdr>
        <w:top w:val="none" w:sz="0" w:space="0" w:color="auto"/>
        <w:left w:val="none" w:sz="0" w:space="0" w:color="auto"/>
        <w:bottom w:val="none" w:sz="0" w:space="0" w:color="auto"/>
        <w:right w:val="none" w:sz="0" w:space="0" w:color="auto"/>
      </w:divBdr>
    </w:div>
    <w:div w:id="433134427">
      <w:bodyDiv w:val="1"/>
      <w:marLeft w:val="0"/>
      <w:marRight w:val="0"/>
      <w:marTop w:val="0"/>
      <w:marBottom w:val="0"/>
      <w:divBdr>
        <w:top w:val="none" w:sz="0" w:space="0" w:color="auto"/>
        <w:left w:val="none" w:sz="0" w:space="0" w:color="auto"/>
        <w:bottom w:val="none" w:sz="0" w:space="0" w:color="auto"/>
        <w:right w:val="none" w:sz="0" w:space="0" w:color="auto"/>
      </w:divBdr>
    </w:div>
    <w:div w:id="1624729206">
      <w:bodyDiv w:val="1"/>
      <w:marLeft w:val="0"/>
      <w:marRight w:val="0"/>
      <w:marTop w:val="0"/>
      <w:marBottom w:val="0"/>
      <w:divBdr>
        <w:top w:val="none" w:sz="0" w:space="0" w:color="auto"/>
        <w:left w:val="none" w:sz="0" w:space="0" w:color="auto"/>
        <w:bottom w:val="none" w:sz="0" w:space="0" w:color="auto"/>
        <w:right w:val="none" w:sz="0" w:space="0" w:color="auto"/>
      </w:divBdr>
      <w:divsChild>
        <w:div w:id="833186282">
          <w:marLeft w:val="0"/>
          <w:marRight w:val="0"/>
          <w:marTop w:val="0"/>
          <w:marBottom w:val="0"/>
          <w:divBdr>
            <w:top w:val="none" w:sz="0" w:space="0" w:color="auto"/>
            <w:left w:val="none" w:sz="0" w:space="0" w:color="auto"/>
            <w:bottom w:val="none" w:sz="0" w:space="0" w:color="auto"/>
            <w:right w:val="none" w:sz="0" w:space="0" w:color="auto"/>
          </w:divBdr>
          <w:divsChild>
            <w:div w:id="1086612318">
              <w:marLeft w:val="0"/>
              <w:marRight w:val="0"/>
              <w:marTop w:val="0"/>
              <w:marBottom w:val="0"/>
              <w:divBdr>
                <w:top w:val="single" w:sz="6" w:space="0" w:color="D9D8D8"/>
                <w:left w:val="none" w:sz="0" w:space="0" w:color="auto"/>
                <w:bottom w:val="none" w:sz="0" w:space="0" w:color="auto"/>
                <w:right w:val="none" w:sz="0" w:space="0" w:color="auto"/>
              </w:divBdr>
              <w:divsChild>
                <w:div w:id="2084059905">
                  <w:marLeft w:val="0"/>
                  <w:marRight w:val="0"/>
                  <w:marTop w:val="0"/>
                  <w:marBottom w:val="0"/>
                  <w:divBdr>
                    <w:top w:val="none" w:sz="0" w:space="0" w:color="auto"/>
                    <w:left w:val="none" w:sz="0" w:space="0" w:color="auto"/>
                    <w:bottom w:val="none" w:sz="0" w:space="0" w:color="auto"/>
                    <w:right w:val="none" w:sz="0" w:space="0" w:color="auto"/>
                  </w:divBdr>
                  <w:divsChild>
                    <w:div w:id="1833449135">
                      <w:marLeft w:val="0"/>
                      <w:marRight w:val="0"/>
                      <w:marTop w:val="0"/>
                      <w:marBottom w:val="0"/>
                      <w:divBdr>
                        <w:top w:val="none" w:sz="0" w:space="0" w:color="auto"/>
                        <w:left w:val="none" w:sz="0" w:space="0" w:color="auto"/>
                        <w:bottom w:val="none" w:sz="0" w:space="0" w:color="auto"/>
                        <w:right w:val="none" w:sz="0" w:space="0" w:color="auto"/>
                      </w:divBdr>
                      <w:divsChild>
                        <w:div w:id="1192720071">
                          <w:marLeft w:val="0"/>
                          <w:marRight w:val="0"/>
                          <w:marTop w:val="0"/>
                          <w:marBottom w:val="0"/>
                          <w:divBdr>
                            <w:top w:val="none" w:sz="0" w:space="0" w:color="auto"/>
                            <w:left w:val="none" w:sz="0" w:space="0" w:color="auto"/>
                            <w:bottom w:val="none" w:sz="0" w:space="0" w:color="auto"/>
                            <w:right w:val="none" w:sz="0" w:space="0" w:color="auto"/>
                          </w:divBdr>
                          <w:divsChild>
                            <w:div w:id="809715105">
                              <w:marLeft w:val="0"/>
                              <w:marRight w:val="0"/>
                              <w:marTop w:val="0"/>
                              <w:marBottom w:val="0"/>
                              <w:divBdr>
                                <w:top w:val="none" w:sz="0" w:space="0" w:color="auto"/>
                                <w:left w:val="none" w:sz="0" w:space="0" w:color="auto"/>
                                <w:bottom w:val="none" w:sz="0" w:space="0" w:color="auto"/>
                                <w:right w:val="none" w:sz="0" w:space="0" w:color="auto"/>
                              </w:divBdr>
                              <w:divsChild>
                                <w:div w:id="2110419910">
                                  <w:marLeft w:val="0"/>
                                  <w:marRight w:val="0"/>
                                  <w:marTop w:val="0"/>
                                  <w:marBottom w:val="0"/>
                                  <w:divBdr>
                                    <w:top w:val="none" w:sz="0" w:space="0" w:color="auto"/>
                                    <w:left w:val="none" w:sz="0" w:space="0" w:color="auto"/>
                                    <w:bottom w:val="none" w:sz="0" w:space="0" w:color="auto"/>
                                    <w:right w:val="none" w:sz="0" w:space="0" w:color="auto"/>
                                  </w:divBdr>
                                  <w:divsChild>
                                    <w:div w:id="241834129">
                                      <w:marLeft w:val="0"/>
                                      <w:marRight w:val="0"/>
                                      <w:marTop w:val="100"/>
                                      <w:marBottom w:val="100"/>
                                      <w:divBdr>
                                        <w:top w:val="none" w:sz="0" w:space="0" w:color="auto"/>
                                        <w:left w:val="none" w:sz="0" w:space="0" w:color="auto"/>
                                        <w:bottom w:val="none" w:sz="0" w:space="0" w:color="auto"/>
                                        <w:right w:val="none" w:sz="0" w:space="0" w:color="auto"/>
                                      </w:divBdr>
                                      <w:divsChild>
                                        <w:div w:id="1382904824">
                                          <w:marLeft w:val="0"/>
                                          <w:marRight w:val="0"/>
                                          <w:marTop w:val="120"/>
                                          <w:marBottom w:val="0"/>
                                          <w:divBdr>
                                            <w:top w:val="none" w:sz="0" w:space="0" w:color="auto"/>
                                            <w:left w:val="none" w:sz="0" w:space="0" w:color="auto"/>
                                            <w:bottom w:val="none" w:sz="0" w:space="0" w:color="auto"/>
                                            <w:right w:val="none" w:sz="0" w:space="0" w:color="auto"/>
                                          </w:divBdr>
                                          <w:divsChild>
                                            <w:div w:id="1718163636">
                                              <w:marLeft w:val="0"/>
                                              <w:marRight w:val="0"/>
                                              <w:marTop w:val="0"/>
                                              <w:marBottom w:val="0"/>
                                              <w:divBdr>
                                                <w:top w:val="none" w:sz="0" w:space="0" w:color="auto"/>
                                                <w:left w:val="none" w:sz="0" w:space="0" w:color="auto"/>
                                                <w:bottom w:val="none" w:sz="0" w:space="0" w:color="auto"/>
                                                <w:right w:val="none" w:sz="0" w:space="0" w:color="auto"/>
                                              </w:divBdr>
                                              <w:divsChild>
                                                <w:div w:id="21018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522247">
      <w:bodyDiv w:val="1"/>
      <w:marLeft w:val="0"/>
      <w:marRight w:val="0"/>
      <w:marTop w:val="0"/>
      <w:marBottom w:val="0"/>
      <w:divBdr>
        <w:top w:val="none" w:sz="0" w:space="0" w:color="auto"/>
        <w:left w:val="none" w:sz="0" w:space="0" w:color="auto"/>
        <w:bottom w:val="none" w:sz="0" w:space="0" w:color="auto"/>
        <w:right w:val="none" w:sz="0" w:space="0" w:color="auto"/>
      </w:divBdr>
      <w:divsChild>
        <w:div w:id="1906139345">
          <w:marLeft w:val="0"/>
          <w:marRight w:val="0"/>
          <w:marTop w:val="0"/>
          <w:marBottom w:val="0"/>
          <w:divBdr>
            <w:top w:val="none" w:sz="0" w:space="0" w:color="auto"/>
            <w:left w:val="none" w:sz="0" w:space="0" w:color="auto"/>
            <w:bottom w:val="none" w:sz="0" w:space="0" w:color="auto"/>
            <w:right w:val="none" w:sz="0" w:space="0" w:color="auto"/>
          </w:divBdr>
          <w:divsChild>
            <w:div w:id="1860239960">
              <w:marLeft w:val="0"/>
              <w:marRight w:val="0"/>
              <w:marTop w:val="0"/>
              <w:marBottom w:val="0"/>
              <w:divBdr>
                <w:top w:val="single" w:sz="6" w:space="0" w:color="D9D8D8"/>
                <w:left w:val="none" w:sz="0" w:space="0" w:color="auto"/>
                <w:bottom w:val="none" w:sz="0" w:space="0" w:color="auto"/>
                <w:right w:val="none" w:sz="0" w:space="0" w:color="auto"/>
              </w:divBdr>
              <w:divsChild>
                <w:div w:id="822041229">
                  <w:marLeft w:val="0"/>
                  <w:marRight w:val="0"/>
                  <w:marTop w:val="0"/>
                  <w:marBottom w:val="0"/>
                  <w:divBdr>
                    <w:top w:val="none" w:sz="0" w:space="0" w:color="auto"/>
                    <w:left w:val="none" w:sz="0" w:space="0" w:color="auto"/>
                    <w:bottom w:val="none" w:sz="0" w:space="0" w:color="auto"/>
                    <w:right w:val="none" w:sz="0" w:space="0" w:color="auto"/>
                  </w:divBdr>
                  <w:divsChild>
                    <w:div w:id="1835490578">
                      <w:marLeft w:val="0"/>
                      <w:marRight w:val="0"/>
                      <w:marTop w:val="0"/>
                      <w:marBottom w:val="0"/>
                      <w:divBdr>
                        <w:top w:val="none" w:sz="0" w:space="0" w:color="auto"/>
                        <w:left w:val="none" w:sz="0" w:space="0" w:color="auto"/>
                        <w:bottom w:val="none" w:sz="0" w:space="0" w:color="auto"/>
                        <w:right w:val="none" w:sz="0" w:space="0" w:color="auto"/>
                      </w:divBdr>
                      <w:divsChild>
                        <w:div w:id="680009012">
                          <w:marLeft w:val="0"/>
                          <w:marRight w:val="0"/>
                          <w:marTop w:val="0"/>
                          <w:marBottom w:val="0"/>
                          <w:divBdr>
                            <w:top w:val="none" w:sz="0" w:space="0" w:color="auto"/>
                            <w:left w:val="none" w:sz="0" w:space="0" w:color="auto"/>
                            <w:bottom w:val="none" w:sz="0" w:space="0" w:color="auto"/>
                            <w:right w:val="none" w:sz="0" w:space="0" w:color="auto"/>
                          </w:divBdr>
                          <w:divsChild>
                            <w:div w:id="1189563745">
                              <w:marLeft w:val="0"/>
                              <w:marRight w:val="0"/>
                              <w:marTop w:val="0"/>
                              <w:marBottom w:val="0"/>
                              <w:divBdr>
                                <w:top w:val="none" w:sz="0" w:space="0" w:color="auto"/>
                                <w:left w:val="none" w:sz="0" w:space="0" w:color="auto"/>
                                <w:bottom w:val="none" w:sz="0" w:space="0" w:color="auto"/>
                                <w:right w:val="none" w:sz="0" w:space="0" w:color="auto"/>
                              </w:divBdr>
                              <w:divsChild>
                                <w:div w:id="419763480">
                                  <w:marLeft w:val="0"/>
                                  <w:marRight w:val="0"/>
                                  <w:marTop w:val="0"/>
                                  <w:marBottom w:val="0"/>
                                  <w:divBdr>
                                    <w:top w:val="none" w:sz="0" w:space="0" w:color="auto"/>
                                    <w:left w:val="none" w:sz="0" w:space="0" w:color="auto"/>
                                    <w:bottom w:val="none" w:sz="0" w:space="0" w:color="auto"/>
                                    <w:right w:val="none" w:sz="0" w:space="0" w:color="auto"/>
                                  </w:divBdr>
                                  <w:divsChild>
                                    <w:div w:id="708645132">
                                      <w:marLeft w:val="0"/>
                                      <w:marRight w:val="0"/>
                                      <w:marTop w:val="100"/>
                                      <w:marBottom w:val="100"/>
                                      <w:divBdr>
                                        <w:top w:val="none" w:sz="0" w:space="0" w:color="auto"/>
                                        <w:left w:val="none" w:sz="0" w:space="0" w:color="auto"/>
                                        <w:bottom w:val="none" w:sz="0" w:space="0" w:color="auto"/>
                                        <w:right w:val="none" w:sz="0" w:space="0" w:color="auto"/>
                                      </w:divBdr>
                                      <w:divsChild>
                                        <w:div w:id="376203603">
                                          <w:marLeft w:val="0"/>
                                          <w:marRight w:val="0"/>
                                          <w:marTop w:val="120"/>
                                          <w:marBottom w:val="0"/>
                                          <w:divBdr>
                                            <w:top w:val="none" w:sz="0" w:space="0" w:color="auto"/>
                                            <w:left w:val="none" w:sz="0" w:space="0" w:color="auto"/>
                                            <w:bottom w:val="none" w:sz="0" w:space="0" w:color="auto"/>
                                            <w:right w:val="none" w:sz="0" w:space="0" w:color="auto"/>
                                          </w:divBdr>
                                          <w:divsChild>
                                            <w:div w:id="948202494">
                                              <w:marLeft w:val="0"/>
                                              <w:marRight w:val="0"/>
                                              <w:marTop w:val="0"/>
                                              <w:marBottom w:val="0"/>
                                              <w:divBdr>
                                                <w:top w:val="none" w:sz="0" w:space="0" w:color="auto"/>
                                                <w:left w:val="none" w:sz="0" w:space="0" w:color="auto"/>
                                                <w:bottom w:val="none" w:sz="0" w:space="0" w:color="auto"/>
                                                <w:right w:val="none" w:sz="0" w:space="0" w:color="auto"/>
                                              </w:divBdr>
                                              <w:divsChild>
                                                <w:div w:id="9114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043900">
      <w:bodyDiv w:val="1"/>
      <w:marLeft w:val="0"/>
      <w:marRight w:val="0"/>
      <w:marTop w:val="0"/>
      <w:marBottom w:val="0"/>
      <w:divBdr>
        <w:top w:val="none" w:sz="0" w:space="0" w:color="auto"/>
        <w:left w:val="none" w:sz="0" w:space="0" w:color="auto"/>
        <w:bottom w:val="none" w:sz="0" w:space="0" w:color="auto"/>
        <w:right w:val="none" w:sz="0" w:space="0" w:color="auto"/>
      </w:divBdr>
      <w:divsChild>
        <w:div w:id="1996182310">
          <w:marLeft w:val="0"/>
          <w:marRight w:val="0"/>
          <w:marTop w:val="0"/>
          <w:marBottom w:val="0"/>
          <w:divBdr>
            <w:top w:val="none" w:sz="0" w:space="0" w:color="auto"/>
            <w:left w:val="none" w:sz="0" w:space="0" w:color="auto"/>
            <w:bottom w:val="none" w:sz="0" w:space="0" w:color="auto"/>
            <w:right w:val="none" w:sz="0" w:space="0" w:color="auto"/>
          </w:divBdr>
          <w:divsChild>
            <w:div w:id="104545431">
              <w:marLeft w:val="0"/>
              <w:marRight w:val="0"/>
              <w:marTop w:val="0"/>
              <w:marBottom w:val="0"/>
              <w:divBdr>
                <w:top w:val="single" w:sz="6" w:space="0" w:color="D9D8D8"/>
                <w:left w:val="none" w:sz="0" w:space="0" w:color="auto"/>
                <w:bottom w:val="none" w:sz="0" w:space="0" w:color="auto"/>
                <w:right w:val="none" w:sz="0" w:space="0" w:color="auto"/>
              </w:divBdr>
              <w:divsChild>
                <w:div w:id="1418405797">
                  <w:marLeft w:val="0"/>
                  <w:marRight w:val="0"/>
                  <w:marTop w:val="0"/>
                  <w:marBottom w:val="0"/>
                  <w:divBdr>
                    <w:top w:val="none" w:sz="0" w:space="0" w:color="auto"/>
                    <w:left w:val="none" w:sz="0" w:space="0" w:color="auto"/>
                    <w:bottom w:val="none" w:sz="0" w:space="0" w:color="auto"/>
                    <w:right w:val="none" w:sz="0" w:space="0" w:color="auto"/>
                  </w:divBdr>
                  <w:divsChild>
                    <w:div w:id="167406481">
                      <w:marLeft w:val="0"/>
                      <w:marRight w:val="0"/>
                      <w:marTop w:val="0"/>
                      <w:marBottom w:val="0"/>
                      <w:divBdr>
                        <w:top w:val="none" w:sz="0" w:space="0" w:color="auto"/>
                        <w:left w:val="none" w:sz="0" w:space="0" w:color="auto"/>
                        <w:bottom w:val="none" w:sz="0" w:space="0" w:color="auto"/>
                        <w:right w:val="none" w:sz="0" w:space="0" w:color="auto"/>
                      </w:divBdr>
                      <w:divsChild>
                        <w:div w:id="1818061745">
                          <w:marLeft w:val="0"/>
                          <w:marRight w:val="0"/>
                          <w:marTop w:val="0"/>
                          <w:marBottom w:val="0"/>
                          <w:divBdr>
                            <w:top w:val="none" w:sz="0" w:space="0" w:color="auto"/>
                            <w:left w:val="none" w:sz="0" w:space="0" w:color="auto"/>
                            <w:bottom w:val="none" w:sz="0" w:space="0" w:color="auto"/>
                            <w:right w:val="none" w:sz="0" w:space="0" w:color="auto"/>
                          </w:divBdr>
                          <w:divsChild>
                            <w:div w:id="239680842">
                              <w:marLeft w:val="0"/>
                              <w:marRight w:val="0"/>
                              <w:marTop w:val="0"/>
                              <w:marBottom w:val="0"/>
                              <w:divBdr>
                                <w:top w:val="none" w:sz="0" w:space="0" w:color="auto"/>
                                <w:left w:val="none" w:sz="0" w:space="0" w:color="auto"/>
                                <w:bottom w:val="none" w:sz="0" w:space="0" w:color="auto"/>
                                <w:right w:val="none" w:sz="0" w:space="0" w:color="auto"/>
                              </w:divBdr>
                              <w:divsChild>
                                <w:div w:id="1639383290">
                                  <w:marLeft w:val="0"/>
                                  <w:marRight w:val="0"/>
                                  <w:marTop w:val="0"/>
                                  <w:marBottom w:val="0"/>
                                  <w:divBdr>
                                    <w:top w:val="none" w:sz="0" w:space="0" w:color="auto"/>
                                    <w:left w:val="none" w:sz="0" w:space="0" w:color="auto"/>
                                    <w:bottom w:val="none" w:sz="0" w:space="0" w:color="auto"/>
                                    <w:right w:val="none" w:sz="0" w:space="0" w:color="auto"/>
                                  </w:divBdr>
                                  <w:divsChild>
                                    <w:div w:id="877356172">
                                      <w:marLeft w:val="0"/>
                                      <w:marRight w:val="0"/>
                                      <w:marTop w:val="100"/>
                                      <w:marBottom w:val="100"/>
                                      <w:divBdr>
                                        <w:top w:val="none" w:sz="0" w:space="0" w:color="auto"/>
                                        <w:left w:val="none" w:sz="0" w:space="0" w:color="auto"/>
                                        <w:bottom w:val="none" w:sz="0" w:space="0" w:color="auto"/>
                                        <w:right w:val="none" w:sz="0" w:space="0" w:color="auto"/>
                                      </w:divBdr>
                                      <w:divsChild>
                                        <w:div w:id="1490753726">
                                          <w:marLeft w:val="0"/>
                                          <w:marRight w:val="0"/>
                                          <w:marTop w:val="120"/>
                                          <w:marBottom w:val="0"/>
                                          <w:divBdr>
                                            <w:top w:val="none" w:sz="0" w:space="0" w:color="auto"/>
                                            <w:left w:val="none" w:sz="0" w:space="0" w:color="auto"/>
                                            <w:bottom w:val="none" w:sz="0" w:space="0" w:color="auto"/>
                                            <w:right w:val="none" w:sz="0" w:space="0" w:color="auto"/>
                                          </w:divBdr>
                                          <w:divsChild>
                                            <w:div w:id="1253006905">
                                              <w:marLeft w:val="0"/>
                                              <w:marRight w:val="0"/>
                                              <w:marTop w:val="0"/>
                                              <w:marBottom w:val="0"/>
                                              <w:divBdr>
                                                <w:top w:val="none" w:sz="0" w:space="0" w:color="auto"/>
                                                <w:left w:val="none" w:sz="0" w:space="0" w:color="auto"/>
                                                <w:bottom w:val="none" w:sz="0" w:space="0" w:color="auto"/>
                                                <w:right w:val="none" w:sz="0" w:space="0" w:color="auto"/>
                                              </w:divBdr>
                                              <w:divsChild>
                                                <w:div w:id="1693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3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isher\AppData\Roaming\Microsoft\Templates\C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95B5-8DE4-47F9-90B2-70E28415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 Template</Template>
  <TotalTime>341</TotalTime>
  <Pages>9</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jfisher</dc:creator>
  <cp:lastModifiedBy>Ruth Pollard</cp:lastModifiedBy>
  <cp:revision>5</cp:revision>
  <cp:lastPrinted>2017-10-27T15:46:00Z</cp:lastPrinted>
  <dcterms:created xsi:type="dcterms:W3CDTF">2018-10-30T16:24:00Z</dcterms:created>
  <dcterms:modified xsi:type="dcterms:W3CDTF">2019-01-29T15:02:00Z</dcterms:modified>
</cp:coreProperties>
</file>